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06487" w14:textId="77777777" w:rsidR="0038216D" w:rsidRPr="0038216D" w:rsidRDefault="00000000" w:rsidP="007536B8"/>
    <w:p w14:paraId="665D8175" w14:textId="671B6747" w:rsidR="009A10DA" w:rsidRPr="0038216D" w:rsidRDefault="005B030B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pacing w:val="-4"/>
        </w:rPr>
      </w:pPr>
      <w:bookmarkStart w:id="0" w:name="_Hlk68087105"/>
      <w:r w:rsidRPr="0038216D">
        <w:rPr>
          <w:rFonts w:ascii="Arial Narrow" w:hAnsi="Arial Narrow" w:cs="Arial Narrow"/>
          <w:b/>
          <w:bCs/>
          <w:spacing w:val="-4"/>
        </w:rPr>
        <w:t>POLICY TITLE:</w:t>
      </w:r>
      <w:r w:rsidRPr="0038216D">
        <w:rPr>
          <w:rFonts w:ascii="Arial Narrow" w:hAnsi="Arial Narrow" w:cs="Arial Narrow"/>
          <w:b/>
          <w:bCs/>
          <w:spacing w:val="-4"/>
        </w:rPr>
        <w:tab/>
      </w:r>
      <w:r w:rsidR="001F21C1">
        <w:rPr>
          <w:rFonts w:ascii="Arial Narrow" w:hAnsi="Arial Narrow" w:cs="Arial Narrow"/>
          <w:b/>
          <w:bCs/>
          <w:spacing w:val="-4"/>
        </w:rPr>
        <w:t>Longevity</w:t>
      </w:r>
      <w:r>
        <w:rPr>
          <w:rFonts w:ascii="Arial Narrow" w:hAnsi="Arial Narrow" w:cs="Arial Narrow"/>
          <w:b/>
          <w:bCs/>
          <w:spacing w:val="-4"/>
        </w:rPr>
        <w:t xml:space="preserve"> Policy</w:t>
      </w:r>
    </w:p>
    <w:p w14:paraId="2C3C4D5B" w14:textId="57B8E098" w:rsidR="009A10DA" w:rsidRDefault="005B030B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pacing w:val="-4"/>
        </w:rPr>
      </w:pPr>
      <w:r w:rsidRPr="0038216D">
        <w:rPr>
          <w:rFonts w:ascii="Arial Narrow" w:hAnsi="Arial Narrow" w:cs="Arial Narrow"/>
          <w:b/>
          <w:bCs/>
          <w:spacing w:val="-4"/>
        </w:rPr>
        <w:t>POLICY NUMBER:</w:t>
      </w:r>
      <w:r w:rsidR="00DC4E67">
        <w:rPr>
          <w:rFonts w:ascii="Arial Narrow" w:hAnsi="Arial Narrow" w:cs="Arial Narrow"/>
          <w:b/>
          <w:bCs/>
          <w:spacing w:val="-4"/>
        </w:rPr>
        <w:tab/>
        <w:t>3</w:t>
      </w:r>
      <w:r w:rsidR="00E62296">
        <w:rPr>
          <w:rFonts w:ascii="Arial Narrow" w:hAnsi="Arial Narrow" w:cs="Arial Narrow"/>
          <w:b/>
          <w:bCs/>
          <w:spacing w:val="-4"/>
        </w:rPr>
        <w:t>497</w:t>
      </w:r>
      <w:r w:rsidRPr="0038216D">
        <w:rPr>
          <w:rFonts w:ascii="Arial Narrow" w:hAnsi="Arial Narrow" w:cs="Arial Narrow"/>
          <w:b/>
          <w:bCs/>
          <w:spacing w:val="-4"/>
        </w:rPr>
        <w:tab/>
      </w:r>
    </w:p>
    <w:p w14:paraId="20706C75" w14:textId="77777777" w:rsidR="00E80290" w:rsidRPr="00E80290" w:rsidRDefault="00E80290">
      <w:pPr>
        <w:widowControl w:val="0"/>
        <w:tabs>
          <w:tab w:val="left" w:pos="81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pacing w:val="-4"/>
        </w:rPr>
      </w:pPr>
    </w:p>
    <w:p w14:paraId="3B292C6E" w14:textId="77777777" w:rsidR="005B1F0A" w:rsidRDefault="005B1F0A" w:rsidP="00B626D7">
      <w:pPr>
        <w:spacing w:before="276" w:line="276" w:lineRule="exact"/>
        <w:ind w:right="72"/>
        <w:contextualSpacing/>
        <w:jc w:val="both"/>
        <w:textAlignment w:val="baseline"/>
        <w:rPr>
          <w:rFonts w:ascii="Arial Narrow" w:eastAsia="Arial" w:hAnsi="Arial Narrow"/>
          <w:color w:val="000000"/>
        </w:rPr>
      </w:pPr>
    </w:p>
    <w:p w14:paraId="18C70120" w14:textId="6D6C4E00" w:rsidR="00DC4E67" w:rsidRDefault="00DC4E67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eastAsia="Arial" w:hAnsi="Arial Narrow"/>
          <w:color w:val="000000"/>
        </w:rPr>
        <w:t>3</w:t>
      </w:r>
      <w:r w:rsidR="00E62296">
        <w:rPr>
          <w:rFonts w:ascii="Arial Narrow" w:eastAsia="Arial" w:hAnsi="Arial Narrow"/>
          <w:color w:val="000000"/>
        </w:rPr>
        <w:t>497</w:t>
      </w:r>
      <w:r>
        <w:rPr>
          <w:rFonts w:ascii="Arial Narrow" w:eastAsia="Arial" w:hAnsi="Arial Narrow"/>
          <w:color w:val="000000"/>
        </w:rPr>
        <w:t>.</w:t>
      </w:r>
      <w:r w:rsidR="00087FCD">
        <w:rPr>
          <w:rFonts w:ascii="Arial Narrow" w:eastAsia="Arial" w:hAnsi="Arial Narrow"/>
          <w:color w:val="000000"/>
        </w:rPr>
        <w:t>1</w:t>
      </w:r>
      <w:r w:rsidR="00087FCD">
        <w:rPr>
          <w:rFonts w:ascii="Arial Narrow" w:eastAsia="Arial" w:hAnsi="Arial Narrow"/>
          <w:color w:val="000000"/>
        </w:rPr>
        <w:tab/>
        <w:t xml:space="preserve"> </w:t>
      </w:r>
      <w:r w:rsidR="001F21C1">
        <w:rPr>
          <w:rFonts w:ascii="Arial Narrow" w:hAnsi="Arial Narrow"/>
          <w:spacing w:val="-4"/>
        </w:rPr>
        <w:t>Longevity Pay</w:t>
      </w:r>
    </w:p>
    <w:p w14:paraId="5F157F19" w14:textId="39BA9EC1" w:rsidR="001F21C1" w:rsidRDefault="001F21C1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 xml:space="preserve">In addition to regular salary or wages, a full-time employee shall receive as compensation longevity pay calculated from the date of hire, </w:t>
      </w:r>
      <w:proofErr w:type="gramStart"/>
      <w:r>
        <w:rPr>
          <w:rFonts w:ascii="Arial Narrow" w:hAnsi="Arial Narrow"/>
          <w:spacing w:val="-4"/>
        </w:rPr>
        <w:t>as long as</w:t>
      </w:r>
      <w:proofErr w:type="gramEnd"/>
      <w:r>
        <w:rPr>
          <w:rFonts w:ascii="Arial Narrow" w:hAnsi="Arial Narrow"/>
          <w:spacing w:val="-4"/>
        </w:rPr>
        <w:t xml:space="preserve"> said employee is performing at a satisfactory or above level as follows:</w:t>
      </w:r>
    </w:p>
    <w:p w14:paraId="3361A53F" w14:textId="77542365" w:rsidR="001F21C1" w:rsidRDefault="0010658B" w:rsidP="0010658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72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a)</w:t>
      </w:r>
      <w:r w:rsidR="003221C4">
        <w:rPr>
          <w:rFonts w:ascii="Arial Narrow" w:hAnsi="Arial Narrow"/>
          <w:spacing w:val="-4"/>
        </w:rPr>
        <w:tab/>
      </w:r>
      <w:r w:rsidR="001F21C1">
        <w:rPr>
          <w:rFonts w:ascii="Arial Narrow" w:hAnsi="Arial Narrow"/>
          <w:spacing w:val="-4"/>
        </w:rPr>
        <w:t>Completion of 10 years of continuous service as a full-time employee, including any time spent as</w:t>
      </w:r>
      <w:r w:rsidR="003221C4">
        <w:rPr>
          <w:rFonts w:ascii="Arial Narrow" w:hAnsi="Arial Narrow"/>
          <w:spacing w:val="-4"/>
        </w:rPr>
        <w:t xml:space="preserve"> </w:t>
      </w:r>
      <w:r w:rsidR="001F21C1">
        <w:rPr>
          <w:rFonts w:ascii="Arial Narrow" w:hAnsi="Arial Narrow"/>
          <w:spacing w:val="-4"/>
        </w:rPr>
        <w:t>probationary employee: 3% of base salary.</w:t>
      </w:r>
    </w:p>
    <w:p w14:paraId="47E4C0D5" w14:textId="5D50D1A7" w:rsidR="001F21C1" w:rsidRDefault="0010658B" w:rsidP="0010658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72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b)</w:t>
      </w:r>
      <w:r>
        <w:rPr>
          <w:rFonts w:ascii="Arial Narrow" w:hAnsi="Arial Narrow"/>
          <w:spacing w:val="-4"/>
        </w:rPr>
        <w:tab/>
      </w:r>
      <w:r w:rsidR="001F21C1">
        <w:rPr>
          <w:rFonts w:ascii="Arial Narrow" w:hAnsi="Arial Narrow"/>
          <w:spacing w:val="-4"/>
        </w:rPr>
        <w:t xml:space="preserve">Every five years of satisfactory or above service thereafter: </w:t>
      </w:r>
      <w:r w:rsidR="00866127">
        <w:rPr>
          <w:rFonts w:ascii="Arial Narrow" w:hAnsi="Arial Narrow"/>
          <w:spacing w:val="-4"/>
        </w:rPr>
        <w:t xml:space="preserve">an additional </w:t>
      </w:r>
      <w:r w:rsidR="001F21C1">
        <w:rPr>
          <w:rFonts w:ascii="Arial Narrow" w:hAnsi="Arial Narrow"/>
          <w:spacing w:val="-4"/>
        </w:rPr>
        <w:t>3% of base salary, with a maximum total of 12% of base salary.</w:t>
      </w:r>
    </w:p>
    <w:p w14:paraId="2DC68778" w14:textId="50E15E15" w:rsidR="001F21C1" w:rsidRDefault="0010658B" w:rsidP="0010658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72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c)</w:t>
      </w:r>
      <w:r>
        <w:rPr>
          <w:rFonts w:ascii="Arial Narrow" w:hAnsi="Arial Narrow"/>
          <w:spacing w:val="-4"/>
        </w:rPr>
        <w:tab/>
      </w:r>
      <w:r w:rsidR="001F21C1">
        <w:rPr>
          <w:rFonts w:ascii="Arial Narrow" w:hAnsi="Arial Narrow"/>
          <w:spacing w:val="-4"/>
        </w:rPr>
        <w:t>Part-time employees accrue longevity on a pro-rated basis, so that a year of service is achieved once the employee has worked 2,080 hours, which is the number of hours equivalent to a year of service for a full-time employee. For example, an employee who reaches 2,080 hours over the course of 18 months shall then be deemed to have completed on</w:t>
      </w:r>
      <w:r w:rsidR="00866127">
        <w:rPr>
          <w:rFonts w:ascii="Arial Narrow" w:hAnsi="Arial Narrow"/>
          <w:spacing w:val="-4"/>
        </w:rPr>
        <w:t>e</w:t>
      </w:r>
      <w:r w:rsidR="001F21C1">
        <w:rPr>
          <w:rFonts w:ascii="Arial Narrow" w:hAnsi="Arial Narrow"/>
          <w:spacing w:val="-4"/>
        </w:rPr>
        <w:t xml:space="preserve"> year of service for purposes of longevity. </w:t>
      </w:r>
    </w:p>
    <w:p w14:paraId="3A0066F9" w14:textId="3447C323" w:rsidR="001F21C1" w:rsidRDefault="001F21C1" w:rsidP="00B626D7">
      <w:pPr>
        <w:spacing w:before="276" w:line="276" w:lineRule="exact"/>
        <w:ind w:right="72"/>
        <w:contextualSpacing/>
        <w:jc w:val="both"/>
        <w:textAlignment w:val="baseline"/>
        <w:rPr>
          <w:rFonts w:ascii="Arial Narrow" w:eastAsia="Arial" w:hAnsi="Arial Narrow"/>
          <w:color w:val="000000"/>
        </w:rPr>
      </w:pPr>
    </w:p>
    <w:p w14:paraId="0E4CB6BD" w14:textId="6EF951A1" w:rsidR="00DC4E67" w:rsidRDefault="00DC4E67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3</w:t>
      </w:r>
      <w:r w:rsidR="00E62296">
        <w:rPr>
          <w:rFonts w:ascii="Arial Narrow" w:hAnsi="Arial Narrow"/>
          <w:spacing w:val="-4"/>
        </w:rPr>
        <w:t>497</w:t>
      </w:r>
      <w:r>
        <w:rPr>
          <w:rFonts w:ascii="Arial Narrow" w:hAnsi="Arial Narrow"/>
          <w:spacing w:val="-4"/>
        </w:rPr>
        <w:t>.2</w:t>
      </w:r>
      <w:r w:rsidR="00087FCD">
        <w:rPr>
          <w:rFonts w:ascii="Arial Narrow" w:hAnsi="Arial Narrow"/>
          <w:spacing w:val="-4"/>
        </w:rPr>
        <w:tab/>
        <w:t xml:space="preserve"> </w:t>
      </w:r>
      <w:r w:rsidR="001F21C1">
        <w:rPr>
          <w:rFonts w:ascii="Arial Narrow" w:hAnsi="Arial Narrow"/>
          <w:spacing w:val="-4"/>
        </w:rPr>
        <w:t>Vacation Policy</w:t>
      </w:r>
    </w:p>
    <w:p w14:paraId="48909A54" w14:textId="1B603ABC" w:rsidR="0010658B" w:rsidRDefault="001F21C1" w:rsidP="0010658B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Full-time employees (employees who work at least 40 hours per week) are entitled to increase their amount of paid vacation leave once they have completed 10 years of continuous service</w:t>
      </w:r>
      <w:r w:rsidR="00025DE7">
        <w:rPr>
          <w:rFonts w:ascii="Arial Narrow" w:hAnsi="Arial Narrow"/>
          <w:spacing w:val="-4"/>
        </w:rPr>
        <w:t>, as follows</w:t>
      </w:r>
      <w:r>
        <w:rPr>
          <w:rFonts w:ascii="Arial Narrow" w:hAnsi="Arial Narrow"/>
          <w:spacing w:val="-4"/>
        </w:rPr>
        <w:t>:</w:t>
      </w:r>
    </w:p>
    <w:p w14:paraId="5E7D9496" w14:textId="6E7D7310" w:rsidR="001F21C1" w:rsidRDefault="0010658B" w:rsidP="0010658B">
      <w:pPr>
        <w:widowControl w:val="0"/>
        <w:tabs>
          <w:tab w:val="left" w:pos="720"/>
        </w:tabs>
        <w:autoSpaceDE w:val="0"/>
        <w:autoSpaceDN w:val="0"/>
        <w:adjustRightInd w:val="0"/>
        <w:spacing w:after="120"/>
        <w:ind w:left="1440" w:hanging="1440"/>
        <w:contextualSpacing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ab/>
        <w:t>a)</w:t>
      </w:r>
      <w:r>
        <w:rPr>
          <w:rFonts w:ascii="Arial Narrow" w:hAnsi="Arial Narrow"/>
          <w:spacing w:val="-4"/>
        </w:rPr>
        <w:tab/>
      </w:r>
      <w:r w:rsidR="001F21C1">
        <w:rPr>
          <w:rFonts w:ascii="Arial Narrow" w:hAnsi="Arial Narrow"/>
          <w:spacing w:val="-4"/>
        </w:rPr>
        <w:t>Employees who have completed 10 years of continuous service shall accrue 40 hours of additional vacation leave per year (in addition to their normal accrual).</w:t>
      </w:r>
    </w:p>
    <w:p w14:paraId="0ABCAA1A" w14:textId="3A212C02" w:rsidR="001F21C1" w:rsidRDefault="001F21C1" w:rsidP="0010658B">
      <w:pPr>
        <w:widowControl w:val="0"/>
        <w:tabs>
          <w:tab w:val="left" w:pos="720"/>
        </w:tabs>
        <w:autoSpaceDE w:val="0"/>
        <w:autoSpaceDN w:val="0"/>
        <w:adjustRightInd w:val="0"/>
        <w:spacing w:after="120"/>
        <w:ind w:left="1440" w:hanging="1440"/>
        <w:contextualSpacing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ab/>
      </w:r>
      <w:r w:rsidR="0010658B">
        <w:rPr>
          <w:rFonts w:ascii="Arial Narrow" w:hAnsi="Arial Narrow"/>
          <w:spacing w:val="-4"/>
        </w:rPr>
        <w:t>b)</w:t>
      </w:r>
      <w:r w:rsidR="0010658B">
        <w:rPr>
          <w:rFonts w:ascii="Arial Narrow" w:hAnsi="Arial Narrow"/>
          <w:spacing w:val="-4"/>
        </w:rPr>
        <w:tab/>
      </w:r>
      <w:r>
        <w:rPr>
          <w:rFonts w:ascii="Arial Narrow" w:hAnsi="Arial Narrow"/>
          <w:spacing w:val="-4"/>
        </w:rPr>
        <w:t xml:space="preserve">Employees who have completed 20 years of continuous service shall accrue </w:t>
      </w:r>
      <w:r w:rsidR="00866127">
        <w:rPr>
          <w:rFonts w:ascii="Arial Narrow" w:hAnsi="Arial Narrow"/>
          <w:spacing w:val="-4"/>
        </w:rPr>
        <w:t xml:space="preserve">an </w:t>
      </w:r>
      <w:r>
        <w:rPr>
          <w:rFonts w:ascii="Arial Narrow" w:hAnsi="Arial Narrow"/>
          <w:spacing w:val="-4"/>
        </w:rPr>
        <w:t xml:space="preserve">additional </w:t>
      </w:r>
      <w:r w:rsidR="00866127">
        <w:rPr>
          <w:rFonts w:ascii="Arial Narrow" w:hAnsi="Arial Narrow"/>
          <w:spacing w:val="-4"/>
        </w:rPr>
        <w:t xml:space="preserve">40 hours of </w:t>
      </w:r>
      <w:r>
        <w:rPr>
          <w:rFonts w:ascii="Arial Narrow" w:hAnsi="Arial Narrow"/>
          <w:spacing w:val="-4"/>
        </w:rPr>
        <w:t>vacation leave per year</w:t>
      </w:r>
      <w:r w:rsidR="00866127">
        <w:rPr>
          <w:rFonts w:ascii="Arial Narrow" w:hAnsi="Arial Narrow"/>
          <w:spacing w:val="-4"/>
        </w:rPr>
        <w:t xml:space="preserve"> (for a total of 80 hours in addition to their normal accrual)</w:t>
      </w:r>
      <w:r>
        <w:rPr>
          <w:rFonts w:ascii="Arial Narrow" w:hAnsi="Arial Narrow"/>
          <w:spacing w:val="-4"/>
        </w:rPr>
        <w:t xml:space="preserve">.  </w:t>
      </w:r>
    </w:p>
    <w:p w14:paraId="24102C6A" w14:textId="77777777" w:rsidR="0010658B" w:rsidRDefault="0010658B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</w:p>
    <w:p w14:paraId="767609DE" w14:textId="6DBD8299" w:rsidR="001F21C1" w:rsidRDefault="00DC4E67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3</w:t>
      </w:r>
      <w:r w:rsidR="00E62296">
        <w:rPr>
          <w:rFonts w:ascii="Arial Narrow" w:hAnsi="Arial Narrow"/>
          <w:spacing w:val="-4"/>
        </w:rPr>
        <w:t>497</w:t>
      </w:r>
      <w:r>
        <w:rPr>
          <w:rFonts w:ascii="Arial Narrow" w:hAnsi="Arial Narrow"/>
          <w:spacing w:val="-4"/>
        </w:rPr>
        <w:t>.3</w:t>
      </w:r>
      <w:r w:rsidR="00087FCD">
        <w:rPr>
          <w:rFonts w:ascii="Arial Narrow" w:hAnsi="Arial Narrow"/>
          <w:spacing w:val="-4"/>
        </w:rPr>
        <w:tab/>
        <w:t xml:space="preserve"> </w:t>
      </w:r>
      <w:r w:rsidR="001F21C1">
        <w:rPr>
          <w:rFonts w:ascii="Arial Narrow" w:hAnsi="Arial Narrow"/>
          <w:spacing w:val="-4"/>
        </w:rPr>
        <w:t>Breaks in Service</w:t>
      </w:r>
    </w:p>
    <w:p w14:paraId="480CDC1B" w14:textId="3399975A" w:rsidR="009C6B20" w:rsidRDefault="009C6B20" w:rsidP="009C6B20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 w:rsidRPr="009C6B20">
        <w:rPr>
          <w:rFonts w:ascii="Arial Narrow" w:hAnsi="Arial Narrow"/>
          <w:spacing w:val="-4"/>
        </w:rPr>
        <w:t>Employees granted leaves of absence for pregnancy</w:t>
      </w:r>
      <w:r w:rsidR="003F2A91">
        <w:rPr>
          <w:rFonts w:ascii="Arial Narrow" w:hAnsi="Arial Narrow"/>
          <w:spacing w:val="-4"/>
        </w:rPr>
        <w:t>,</w:t>
      </w:r>
      <w:r w:rsidRPr="009C6B20">
        <w:rPr>
          <w:rFonts w:ascii="Arial Narrow" w:hAnsi="Arial Narrow"/>
          <w:spacing w:val="-4"/>
        </w:rPr>
        <w:t xml:space="preserve"> disability, Family and Medical Leave, California Family Rights Act, or any other leave to which this provision applies by law, shall not experience a break in service for purposes of </w:t>
      </w:r>
      <w:r w:rsidR="00866127">
        <w:rPr>
          <w:rFonts w:ascii="Arial Narrow" w:hAnsi="Arial Narrow"/>
          <w:spacing w:val="-4"/>
        </w:rPr>
        <w:t>calculating</w:t>
      </w:r>
      <w:r w:rsidR="0003401A">
        <w:rPr>
          <w:rFonts w:ascii="Arial Narrow" w:hAnsi="Arial Narrow"/>
          <w:spacing w:val="-4"/>
        </w:rPr>
        <w:t xml:space="preserve"> </w:t>
      </w:r>
      <w:r w:rsidRPr="009C6B20">
        <w:rPr>
          <w:rFonts w:ascii="Arial Narrow" w:hAnsi="Arial Narrow"/>
          <w:spacing w:val="-4"/>
        </w:rPr>
        <w:t xml:space="preserve">longevity. </w:t>
      </w:r>
    </w:p>
    <w:p w14:paraId="16E5C904" w14:textId="085D646F" w:rsidR="009C6B20" w:rsidRDefault="009C6B20" w:rsidP="009C6B20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</w:p>
    <w:p w14:paraId="6044C74A" w14:textId="77777777" w:rsidR="009C6B20" w:rsidRPr="009C6B20" w:rsidRDefault="009C6B20" w:rsidP="009C6B20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 w:rsidRPr="009C6B20">
        <w:rPr>
          <w:rFonts w:ascii="Arial Narrow" w:hAnsi="Arial Narrow"/>
          <w:spacing w:val="-4"/>
        </w:rPr>
        <w:t>Employees who separate from [DISTRICT] employment for reasons other than layoff, whether voluntarily or involuntarily, and then return to [DISTRICT] employment, shall have longevity calculated from the first date of their most recent employment. For example, if an employee has worked for the [DISTRICT] for 20 years, separates for 1 year, and then returns to employment, the employee shall begin with 0 years of longevity.</w:t>
      </w:r>
    </w:p>
    <w:p w14:paraId="01E2BB35" w14:textId="77777777" w:rsidR="009C6B20" w:rsidRPr="009C6B20" w:rsidRDefault="009C6B20" w:rsidP="009C6B20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</w:p>
    <w:p w14:paraId="2660909F" w14:textId="1A482431" w:rsidR="001F21C1" w:rsidRDefault="00DC4E67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>3</w:t>
      </w:r>
      <w:r w:rsidR="00E62296">
        <w:rPr>
          <w:rFonts w:ascii="Arial Narrow" w:hAnsi="Arial Narrow"/>
          <w:spacing w:val="-4"/>
        </w:rPr>
        <w:t>497</w:t>
      </w:r>
      <w:r>
        <w:rPr>
          <w:rFonts w:ascii="Arial Narrow" w:hAnsi="Arial Narrow"/>
          <w:spacing w:val="-4"/>
        </w:rPr>
        <w:t>.</w:t>
      </w:r>
      <w:r w:rsidR="00087FCD">
        <w:rPr>
          <w:rFonts w:ascii="Arial Narrow" w:hAnsi="Arial Narrow"/>
          <w:spacing w:val="-4"/>
        </w:rPr>
        <w:t>4</w:t>
      </w:r>
      <w:r w:rsidR="00087FCD">
        <w:rPr>
          <w:rFonts w:ascii="Arial Narrow" w:hAnsi="Arial Narrow"/>
          <w:spacing w:val="-4"/>
        </w:rPr>
        <w:tab/>
        <w:t xml:space="preserve"> </w:t>
      </w:r>
      <w:r w:rsidR="001F21C1">
        <w:rPr>
          <w:rFonts w:ascii="Arial Narrow" w:hAnsi="Arial Narrow"/>
          <w:spacing w:val="-4"/>
        </w:rPr>
        <w:t>Layoffs</w:t>
      </w:r>
    </w:p>
    <w:p w14:paraId="6198DB48" w14:textId="47B3258B" w:rsidR="001F21C1" w:rsidRDefault="001F21C1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 xml:space="preserve">Employee layoffs are made at the discretion of [DISTRICT] according to business necessity.  The General Manager shall prepare a layoff list, giving consideration to all applicable factors, including business necessity, job </w:t>
      </w:r>
      <w:r>
        <w:rPr>
          <w:rFonts w:ascii="Arial Narrow" w:hAnsi="Arial Narrow"/>
          <w:spacing w:val="-4"/>
        </w:rPr>
        <w:lastRenderedPageBreak/>
        <w:t xml:space="preserve">performance, competence and </w:t>
      </w:r>
      <w:proofErr w:type="gramStart"/>
      <w:r>
        <w:rPr>
          <w:rFonts w:ascii="Arial Narrow" w:hAnsi="Arial Narrow"/>
          <w:spacing w:val="-4"/>
        </w:rPr>
        <w:t>skill-set</w:t>
      </w:r>
      <w:proofErr w:type="gramEnd"/>
      <w:r>
        <w:rPr>
          <w:rFonts w:ascii="Arial Narrow" w:hAnsi="Arial Narrow"/>
          <w:spacing w:val="-4"/>
        </w:rPr>
        <w:t xml:space="preserve"> of individual employees, and longevity of service with [DISTRICT] (where practical).  Longevity will not be the sole factor in layoff considerations where other relevant factors apply.  </w:t>
      </w:r>
    </w:p>
    <w:p w14:paraId="402149D9" w14:textId="77777777" w:rsidR="001F21C1" w:rsidRDefault="001F21C1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</w:p>
    <w:p w14:paraId="581AEADD" w14:textId="3EB42242" w:rsidR="001F21C1" w:rsidRDefault="001F21C1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  <w:r>
        <w:rPr>
          <w:rFonts w:ascii="Arial Narrow" w:hAnsi="Arial Narrow"/>
          <w:spacing w:val="-4"/>
        </w:rPr>
        <w:t xml:space="preserve">Employees laid off in good standing shall be eligible for re-employment with [DISTRICT]. If a laid off employee is re-hired within one year of layoff, the employee shall commence re-employment at the level of longevity they had at the time of layoff. </w:t>
      </w:r>
    </w:p>
    <w:p w14:paraId="1BB102BE" w14:textId="77777777" w:rsidR="001F21C1" w:rsidRDefault="001F21C1" w:rsidP="001F21C1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 Narrow" w:hAnsi="Arial Narrow"/>
          <w:spacing w:val="-4"/>
        </w:rPr>
      </w:pPr>
    </w:p>
    <w:bookmarkEnd w:id="0"/>
    <w:p w14:paraId="38659D57" w14:textId="2B793FDF" w:rsidR="007400C0" w:rsidRPr="00497D43" w:rsidRDefault="00000000" w:rsidP="00497D43">
      <w:pPr>
        <w:widowControl w:val="0"/>
        <w:tabs>
          <w:tab w:val="left" w:pos="6048"/>
        </w:tabs>
        <w:autoSpaceDE w:val="0"/>
        <w:autoSpaceDN w:val="0"/>
        <w:adjustRightInd w:val="0"/>
        <w:rPr>
          <w:rFonts w:ascii="Arial Narrow" w:hAnsi="Arial Narrow"/>
          <w:spacing w:val="-4"/>
          <w:sz w:val="2"/>
          <w:szCs w:val="2"/>
        </w:rPr>
      </w:pPr>
    </w:p>
    <w:sectPr w:rsidR="007400C0" w:rsidRPr="00497D43" w:rsidSect="00374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152" w:bottom="1152" w:left="1728" w:header="706" w:footer="706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310CD" w14:textId="77777777" w:rsidR="00F43A9A" w:rsidRDefault="00F43A9A">
      <w:r>
        <w:separator/>
      </w:r>
    </w:p>
  </w:endnote>
  <w:endnote w:type="continuationSeparator" w:id="0">
    <w:p w14:paraId="45AC2EAF" w14:textId="77777777" w:rsidR="00F43A9A" w:rsidRDefault="00F4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38A" w14:textId="77777777" w:rsidR="00804F0D" w:rsidRDefault="00804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D135" w14:textId="27095528" w:rsidR="00281214" w:rsidRDefault="00281214">
    <w:pPr>
      <w:pStyle w:val="Footer"/>
    </w:pPr>
    <w:r w:rsidRPr="00ED1737">
      <w:rPr>
        <w:rFonts w:ascii="Arial Narrow" w:hAnsi="Arial Narrow"/>
        <w:noProof/>
      </w:rPr>
      <w:drawing>
        <wp:anchor distT="0" distB="0" distL="114300" distR="114300" simplePos="0" relativeHeight="251665408" behindDoc="0" locked="0" layoutInCell="1" allowOverlap="1" wp14:anchorId="2C149914" wp14:editId="1BE5771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6" name="Picture 6" descr="H:\Department Folders\Member Services\Shared Membership Folder\Sample Policy Handbook\6th Edition, 2016\Production\covers, footers, headers etc\SPH footer secondary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Department Folders\Member Services\Shared Membership Folder\Sample Policy Handbook\6th Edition, 2016\Production\covers, footers, headers etc\SPH footer secondary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0288" w14:textId="219FC193" w:rsidR="00281214" w:rsidRDefault="0028121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8D1DC61" wp14:editId="20E4E2A9">
          <wp:simplePos x="0" y="0"/>
          <wp:positionH relativeFrom="page">
            <wp:posOffset>595630</wp:posOffset>
          </wp:positionH>
          <wp:positionV relativeFrom="page">
            <wp:posOffset>9086850</wp:posOffset>
          </wp:positionV>
          <wp:extent cx="6580505" cy="967740"/>
          <wp:effectExtent l="0" t="0" r="0" b="3810"/>
          <wp:wrapTight wrapText="bothSides">
            <wp:wrapPolygon edited="0">
              <wp:start x="0" y="0"/>
              <wp:lineTo x="0" y="21260"/>
              <wp:lineTo x="21510" y="21260"/>
              <wp:lineTo x="2151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8050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3A0E" w14:textId="77777777" w:rsidR="00F43A9A" w:rsidRDefault="00F43A9A">
      <w:r>
        <w:separator/>
      </w:r>
    </w:p>
  </w:footnote>
  <w:footnote w:type="continuationSeparator" w:id="0">
    <w:p w14:paraId="3670125D" w14:textId="77777777" w:rsidR="00F43A9A" w:rsidRDefault="00F43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1B65" w14:textId="77777777" w:rsidR="00804F0D" w:rsidRDefault="00804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E30B" w14:textId="0BB839C0" w:rsidR="00281214" w:rsidRDefault="00281214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58C3D36" wp14:editId="6891F9B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54112" cy="1371413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112" cy="13714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59B9" w14:textId="67122646" w:rsidR="00281214" w:rsidRDefault="0028121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532E7C" wp14:editId="6A9A3852">
          <wp:simplePos x="0" y="0"/>
          <wp:positionH relativeFrom="page">
            <wp:align>left</wp:align>
          </wp:positionH>
          <wp:positionV relativeFrom="page">
            <wp:posOffset>6350</wp:posOffset>
          </wp:positionV>
          <wp:extent cx="7754112" cy="1371413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112" cy="13714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92AD"/>
    <w:multiLevelType w:val="singleLevel"/>
    <w:tmpl w:val="2694D0EF"/>
    <w:lvl w:ilvl="0">
      <w:start w:val="1"/>
      <w:numFmt w:val="decimal"/>
      <w:lvlText w:val=".%1"/>
      <w:lvlJc w:val="left"/>
      <w:pPr>
        <w:tabs>
          <w:tab w:val="num" w:pos="810"/>
        </w:tabs>
        <w:ind w:left="810" w:hanging="810"/>
      </w:pPr>
      <w:rPr>
        <w:rFonts w:ascii="Arial Narrow" w:hAnsi="Arial Narrow" w:cs="Arial Narrow"/>
        <w:sz w:val="24"/>
        <w:szCs w:val="24"/>
      </w:rPr>
    </w:lvl>
  </w:abstractNum>
  <w:abstractNum w:abstractNumId="1" w15:restartNumberingAfterBreak="0">
    <w:nsid w:val="016F1C0C"/>
    <w:multiLevelType w:val="multilevel"/>
    <w:tmpl w:val="7F26764A"/>
    <w:lvl w:ilvl="0">
      <w:start w:val="22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3546E6"/>
    <w:multiLevelType w:val="hybridMultilevel"/>
    <w:tmpl w:val="63FAE6CA"/>
    <w:lvl w:ilvl="0" w:tplc="AEEC0A0A">
      <w:start w:val="1"/>
      <w:numFmt w:val="lowerLetter"/>
      <w:lvlText w:val="%1)"/>
      <w:lvlJc w:val="left"/>
      <w:pPr>
        <w:ind w:left="720" w:hanging="360"/>
      </w:pPr>
    </w:lvl>
    <w:lvl w:ilvl="1" w:tplc="9C82D702" w:tentative="1">
      <w:start w:val="1"/>
      <w:numFmt w:val="lowerLetter"/>
      <w:lvlText w:val="%2."/>
      <w:lvlJc w:val="left"/>
      <w:pPr>
        <w:ind w:left="1440" w:hanging="360"/>
      </w:pPr>
    </w:lvl>
    <w:lvl w:ilvl="2" w:tplc="029EC170" w:tentative="1">
      <w:start w:val="1"/>
      <w:numFmt w:val="lowerRoman"/>
      <w:lvlText w:val="%3."/>
      <w:lvlJc w:val="right"/>
      <w:pPr>
        <w:ind w:left="2160" w:hanging="180"/>
      </w:pPr>
    </w:lvl>
    <w:lvl w:ilvl="3" w:tplc="5E1A6B2C" w:tentative="1">
      <w:start w:val="1"/>
      <w:numFmt w:val="decimal"/>
      <w:lvlText w:val="%4."/>
      <w:lvlJc w:val="left"/>
      <w:pPr>
        <w:ind w:left="2880" w:hanging="360"/>
      </w:pPr>
    </w:lvl>
    <w:lvl w:ilvl="4" w:tplc="0152EF4A" w:tentative="1">
      <w:start w:val="1"/>
      <w:numFmt w:val="lowerLetter"/>
      <w:lvlText w:val="%5."/>
      <w:lvlJc w:val="left"/>
      <w:pPr>
        <w:ind w:left="3600" w:hanging="360"/>
      </w:pPr>
    </w:lvl>
    <w:lvl w:ilvl="5" w:tplc="81367DB2" w:tentative="1">
      <w:start w:val="1"/>
      <w:numFmt w:val="lowerRoman"/>
      <w:lvlText w:val="%6."/>
      <w:lvlJc w:val="right"/>
      <w:pPr>
        <w:ind w:left="4320" w:hanging="180"/>
      </w:pPr>
    </w:lvl>
    <w:lvl w:ilvl="6" w:tplc="ADF2BB30" w:tentative="1">
      <w:start w:val="1"/>
      <w:numFmt w:val="decimal"/>
      <w:lvlText w:val="%7."/>
      <w:lvlJc w:val="left"/>
      <w:pPr>
        <w:ind w:left="5040" w:hanging="360"/>
      </w:pPr>
    </w:lvl>
    <w:lvl w:ilvl="7" w:tplc="A7F4B3B2" w:tentative="1">
      <w:start w:val="1"/>
      <w:numFmt w:val="lowerLetter"/>
      <w:lvlText w:val="%8."/>
      <w:lvlJc w:val="left"/>
      <w:pPr>
        <w:ind w:left="5760" w:hanging="360"/>
      </w:pPr>
    </w:lvl>
    <w:lvl w:ilvl="8" w:tplc="68E0E7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459A1"/>
    <w:multiLevelType w:val="multilevel"/>
    <w:tmpl w:val="926CDAF0"/>
    <w:lvl w:ilvl="0">
      <w:start w:val="2210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BBB78A1"/>
    <w:multiLevelType w:val="hybridMultilevel"/>
    <w:tmpl w:val="09020D6C"/>
    <w:lvl w:ilvl="0" w:tplc="9106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C07D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CEA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C8F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8C2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AEF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08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EE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C0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01F8A"/>
    <w:multiLevelType w:val="hybridMultilevel"/>
    <w:tmpl w:val="7584C3CE"/>
    <w:lvl w:ilvl="0" w:tplc="5B10C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B4D1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E04E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79DC4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ED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F89D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8E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1EA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0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A5075"/>
    <w:multiLevelType w:val="multilevel"/>
    <w:tmpl w:val="AAD8B472"/>
    <w:lvl w:ilvl="0">
      <w:start w:val="2210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5EB22671"/>
    <w:multiLevelType w:val="hybridMultilevel"/>
    <w:tmpl w:val="04685090"/>
    <w:lvl w:ilvl="0" w:tplc="E4D8C0AE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7B96B732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A300BD8E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A5E82AC4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3BEFEC0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985A6002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A3B6169A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8A1A765A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C428DB5A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num w:numId="1" w16cid:durableId="617879308">
    <w:abstractNumId w:val="0"/>
  </w:num>
  <w:num w:numId="2" w16cid:durableId="1865287218">
    <w:abstractNumId w:val="0"/>
    <w:lvlOverride w:ilvl="0">
      <w:startOverride w:val="5"/>
    </w:lvlOverride>
  </w:num>
  <w:num w:numId="3" w16cid:durableId="1076317961">
    <w:abstractNumId w:val="1"/>
  </w:num>
  <w:num w:numId="4" w16cid:durableId="2033191877">
    <w:abstractNumId w:val="6"/>
  </w:num>
  <w:num w:numId="5" w16cid:durableId="382095006">
    <w:abstractNumId w:val="3"/>
  </w:num>
  <w:num w:numId="6" w16cid:durableId="1937858067">
    <w:abstractNumId w:val="7"/>
  </w:num>
  <w:num w:numId="7" w16cid:durableId="1544098972">
    <w:abstractNumId w:val="5"/>
  </w:num>
  <w:num w:numId="8" w16cid:durableId="1957448834">
    <w:abstractNumId w:val="2"/>
  </w:num>
  <w:num w:numId="9" w16cid:durableId="816265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290"/>
    <w:rsid w:val="000120F3"/>
    <w:rsid w:val="00025DE7"/>
    <w:rsid w:val="00031010"/>
    <w:rsid w:val="0003401A"/>
    <w:rsid w:val="000351F6"/>
    <w:rsid w:val="00055CC4"/>
    <w:rsid w:val="00087FCD"/>
    <w:rsid w:val="000C18AF"/>
    <w:rsid w:val="000D50C7"/>
    <w:rsid w:val="0010658B"/>
    <w:rsid w:val="00110C3D"/>
    <w:rsid w:val="001272C6"/>
    <w:rsid w:val="001C2EC7"/>
    <w:rsid w:val="001F21C1"/>
    <w:rsid w:val="00256178"/>
    <w:rsid w:val="00271216"/>
    <w:rsid w:val="002734B6"/>
    <w:rsid w:val="00281214"/>
    <w:rsid w:val="00286DDC"/>
    <w:rsid w:val="00291A7F"/>
    <w:rsid w:val="002B3B5B"/>
    <w:rsid w:val="003221C4"/>
    <w:rsid w:val="003F2A91"/>
    <w:rsid w:val="003F6AFA"/>
    <w:rsid w:val="003F73A1"/>
    <w:rsid w:val="00410DC2"/>
    <w:rsid w:val="0044441B"/>
    <w:rsid w:val="00497D43"/>
    <w:rsid w:val="004C3606"/>
    <w:rsid w:val="0055583A"/>
    <w:rsid w:val="00573172"/>
    <w:rsid w:val="005B030B"/>
    <w:rsid w:val="005B1F0A"/>
    <w:rsid w:val="006005D4"/>
    <w:rsid w:val="007536B8"/>
    <w:rsid w:val="007B30F4"/>
    <w:rsid w:val="00800976"/>
    <w:rsid w:val="00804F0D"/>
    <w:rsid w:val="00866127"/>
    <w:rsid w:val="00873A1B"/>
    <w:rsid w:val="00884185"/>
    <w:rsid w:val="00894FDB"/>
    <w:rsid w:val="008A5855"/>
    <w:rsid w:val="009732D2"/>
    <w:rsid w:val="009A5EE9"/>
    <w:rsid w:val="009C6B20"/>
    <w:rsid w:val="00B626D7"/>
    <w:rsid w:val="00B825AF"/>
    <w:rsid w:val="00B9728C"/>
    <w:rsid w:val="00BD6E0F"/>
    <w:rsid w:val="00BE287F"/>
    <w:rsid w:val="00C55E21"/>
    <w:rsid w:val="00D31CA5"/>
    <w:rsid w:val="00DC4E67"/>
    <w:rsid w:val="00DF183B"/>
    <w:rsid w:val="00E41141"/>
    <w:rsid w:val="00E44262"/>
    <w:rsid w:val="00E62296"/>
    <w:rsid w:val="00E80290"/>
    <w:rsid w:val="00E9680F"/>
    <w:rsid w:val="00EB472C"/>
    <w:rsid w:val="00F43A9A"/>
    <w:rsid w:val="00F62F90"/>
    <w:rsid w:val="00F6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4F84AC"/>
  <w15:docId w15:val="{468DCB2C-2F5A-4876-B96C-5C033D94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D40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406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425E8"/>
  </w:style>
  <w:style w:type="paragraph" w:styleId="ListParagraph">
    <w:name w:val="List Paragraph"/>
    <w:basedOn w:val="Normal"/>
    <w:uiPriority w:val="34"/>
    <w:qFormat/>
    <w:rsid w:val="00E24F5E"/>
    <w:pPr>
      <w:ind w:left="720"/>
    </w:pPr>
  </w:style>
  <w:style w:type="paragraph" w:styleId="BalloonText">
    <w:name w:val="Balloon Text"/>
    <w:basedOn w:val="Normal"/>
    <w:link w:val="BalloonTextChar"/>
    <w:rsid w:val="001B2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225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7536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536B8"/>
  </w:style>
  <w:style w:type="character" w:styleId="FootnoteReference">
    <w:name w:val="footnote reference"/>
    <w:basedOn w:val="DefaultParagraphFont"/>
    <w:semiHidden/>
    <w:unhideWhenUsed/>
    <w:rsid w:val="007536B8"/>
    <w:rPr>
      <w:vertAlign w:val="superscript"/>
    </w:rPr>
  </w:style>
  <w:style w:type="paragraph" w:styleId="Revision">
    <w:name w:val="Revision"/>
    <w:hidden/>
    <w:uiPriority w:val="99"/>
    <w:semiHidden/>
    <w:rsid w:val="008661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2C402-EF82-4C9C-AB94-BD886423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Strawn</dc:creator>
  <cp:lastModifiedBy>Michael Meyer</cp:lastModifiedBy>
  <cp:revision>4</cp:revision>
  <dcterms:created xsi:type="dcterms:W3CDTF">2023-05-09T18:48:00Z</dcterms:created>
  <dcterms:modified xsi:type="dcterms:W3CDTF">2023-05-09T18:50:00Z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81000</vt:lpwstr>
  </property>
  <property fmtid="{D5CDD505-2E9C-101B-9397-08002B2CF9AE}" pid="3" name="Matter">
    <vt:lpwstr>0187</vt:lpwstr>
  </property>
  <property fmtid="{D5CDD505-2E9C-101B-9397-08002B2CF9AE}" pid="4" name="RWG Trailer">
    <vt:lpwstr>81000-0187\2205819v2.doc</vt:lpwstr>
  </property>
</Properties>
</file>