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D9E" w:rsidRPr="005E74CE" w:rsidRDefault="00CD6D9E">
      <w:pPr>
        <w:pStyle w:val="CSDAPolicy1"/>
        <w:rPr>
          <w:b/>
          <w:bCs/>
        </w:rPr>
      </w:pPr>
      <w:r w:rsidRPr="005E74CE">
        <w:rPr>
          <w:b/>
          <w:bCs/>
        </w:rPr>
        <w:t>POLICY TITLE:</w:t>
      </w:r>
      <w:r w:rsidRPr="005E74CE">
        <w:rPr>
          <w:b/>
          <w:bCs/>
        </w:rPr>
        <w:tab/>
        <w:t>Health and Welfare Benefits</w:t>
      </w:r>
    </w:p>
    <w:p w:rsidR="00CD6D9E" w:rsidRPr="005E74CE" w:rsidRDefault="00CD6D9E">
      <w:pPr>
        <w:pStyle w:val="CSDAPolicy1"/>
        <w:rPr>
          <w:b/>
          <w:bCs/>
        </w:rPr>
      </w:pPr>
      <w:r w:rsidRPr="005E74CE">
        <w:rPr>
          <w:b/>
          <w:bCs/>
        </w:rPr>
        <w:t>POLICY NUMBER:</w:t>
      </w:r>
      <w:r w:rsidRPr="005E74CE">
        <w:rPr>
          <w:b/>
          <w:bCs/>
        </w:rPr>
        <w:tab/>
      </w:r>
      <w:r w:rsidR="00B70607" w:rsidRPr="005E74CE">
        <w:rPr>
          <w:b/>
          <w:bCs/>
        </w:rPr>
        <w:t>3505</w:t>
      </w:r>
    </w:p>
    <w:p w:rsidR="00CD6D9E" w:rsidRPr="005E74CE" w:rsidRDefault="00CD6D9E">
      <w:pPr>
        <w:pStyle w:val="CSDAPolicy1"/>
        <w:rPr>
          <w:b/>
          <w:bCs/>
        </w:rPr>
      </w:pPr>
    </w:p>
    <w:p w:rsidR="00CD6D9E" w:rsidRPr="005E74CE" w:rsidRDefault="00CD6D9E">
      <w:pPr>
        <w:pStyle w:val="CSDAPolicy1"/>
        <w:rPr>
          <w:b/>
          <w:bCs/>
        </w:rPr>
      </w:pPr>
    </w:p>
    <w:p w:rsidR="00CD6D9E" w:rsidRPr="005E74CE" w:rsidRDefault="00B7060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right" w:pos="9216"/>
        </w:tabs>
        <w:ind w:left="0"/>
        <w:jc w:val="both"/>
        <w:rPr>
          <w:rFonts w:ascii="Arial Narrow" w:hAnsi="Arial Narrow"/>
          <w:sz w:val="24"/>
        </w:rPr>
      </w:pPr>
      <w:r w:rsidRPr="005E287A">
        <w:rPr>
          <w:rFonts w:ascii="Arial Narrow" w:hAnsi="Arial Narrow"/>
          <w:sz w:val="24"/>
        </w:rPr>
        <w:t>3505</w:t>
      </w:r>
      <w:r w:rsidR="00CD6D9E" w:rsidRPr="005E287A">
        <w:rPr>
          <w:rFonts w:ascii="Arial Narrow" w:hAnsi="Arial Narrow"/>
          <w:sz w:val="24"/>
        </w:rPr>
        <w:t>.1</w:t>
      </w:r>
      <w:r w:rsidR="005E74CE">
        <w:rPr>
          <w:rFonts w:ascii="Arial Narrow" w:hAnsi="Arial Narrow"/>
          <w:sz w:val="24"/>
        </w:rPr>
        <w:t xml:space="preserve"> </w:t>
      </w:r>
      <w:r w:rsidR="005E74CE">
        <w:rPr>
          <w:rFonts w:ascii="Arial Narrow" w:hAnsi="Arial Narrow"/>
          <w:sz w:val="24"/>
        </w:rPr>
        <w:tab/>
      </w:r>
      <w:r w:rsidR="00CD6D9E" w:rsidRPr="005E74CE">
        <w:rPr>
          <w:rFonts w:ascii="Arial Narrow" w:hAnsi="Arial Narrow"/>
          <w:sz w:val="24"/>
        </w:rPr>
        <w:t>Medical Expense Insurance.</w:t>
      </w:r>
      <w:r w:rsidR="005E74CE">
        <w:rPr>
          <w:rFonts w:ascii="Arial Narrow" w:hAnsi="Arial Narrow"/>
          <w:sz w:val="24"/>
        </w:rPr>
        <w:t xml:space="preserve"> </w:t>
      </w:r>
      <w:r w:rsidR="00BD1A30" w:rsidRPr="005E74CE">
        <w:rPr>
          <w:rFonts w:ascii="Arial Narrow" w:hAnsi="Arial Narrow"/>
          <w:sz w:val="24"/>
        </w:rPr>
        <w:t>H</w:t>
      </w:r>
      <w:r w:rsidR="00CD6D9E" w:rsidRPr="005E74CE">
        <w:rPr>
          <w:rFonts w:ascii="Arial Narrow" w:hAnsi="Arial Narrow"/>
          <w:sz w:val="24"/>
        </w:rPr>
        <w:t>ealth</w:t>
      </w:r>
      <w:r w:rsidR="00BD1A30" w:rsidRPr="005E74CE">
        <w:rPr>
          <w:rFonts w:ascii="Arial Narrow" w:hAnsi="Arial Narrow"/>
          <w:sz w:val="24"/>
        </w:rPr>
        <w:t xml:space="preserve"> </w:t>
      </w:r>
      <w:r w:rsidR="00CD6D9E" w:rsidRPr="005E74CE">
        <w:rPr>
          <w:rFonts w:ascii="Arial Narrow" w:hAnsi="Arial Narrow"/>
          <w:sz w:val="24"/>
        </w:rPr>
        <w:t>and dental insurance to cover non-occupational injuries and sickness for probationary and full-time employees in all job classi</w:t>
      </w:r>
      <w:r w:rsidR="00CD6D9E" w:rsidRPr="005E74CE">
        <w:rPr>
          <w:rFonts w:ascii="Arial Narrow" w:hAnsi="Arial Narrow"/>
          <w:sz w:val="24"/>
        </w:rPr>
        <w:softHyphen/>
        <w:t>fications, and their depen</w:t>
      </w:r>
      <w:r w:rsidR="00CD6D9E" w:rsidRPr="005E74CE">
        <w:rPr>
          <w:rFonts w:ascii="Arial Narrow" w:hAnsi="Arial Narrow"/>
          <w:sz w:val="24"/>
        </w:rPr>
        <w:softHyphen/>
        <w:t>dents, shall be provided by the District.</w:t>
      </w:r>
      <w:r w:rsidR="005E74CE">
        <w:rPr>
          <w:rFonts w:ascii="Arial Narrow" w:hAnsi="Arial Narrow"/>
          <w:sz w:val="24"/>
        </w:rPr>
        <w:t xml:space="preserve"> </w:t>
      </w:r>
      <w:r w:rsidR="00CD6D9E" w:rsidRPr="005E74CE">
        <w:rPr>
          <w:rFonts w:ascii="Arial Narrow" w:hAnsi="Arial Narrow"/>
          <w:sz w:val="24"/>
        </w:rPr>
        <w:t xml:space="preserve">The scope of coverage and the </w:t>
      </w:r>
      <w:r w:rsidR="00411280" w:rsidRPr="005E74CE">
        <w:rPr>
          <w:rFonts w:ascii="Arial Narrow" w:hAnsi="Arial Narrow"/>
          <w:sz w:val="24"/>
        </w:rPr>
        <w:t>portion</w:t>
      </w:r>
      <w:r w:rsidR="00CD6D9E" w:rsidRPr="005E74CE">
        <w:rPr>
          <w:rFonts w:ascii="Arial Narrow" w:hAnsi="Arial Narrow"/>
          <w:sz w:val="24"/>
        </w:rPr>
        <w:t xml:space="preserve"> of premiums</w:t>
      </w:r>
      <w:r w:rsidR="00411280" w:rsidRPr="005E74CE">
        <w:rPr>
          <w:rFonts w:ascii="Arial Narrow" w:hAnsi="Arial Narrow"/>
          <w:sz w:val="24"/>
        </w:rPr>
        <w:t xml:space="preserve"> to be paid by the District</w:t>
      </w:r>
      <w:r w:rsidR="00CD6D9E" w:rsidRPr="005E74CE">
        <w:rPr>
          <w:rFonts w:ascii="Arial Narrow" w:hAnsi="Arial Narrow"/>
          <w:sz w:val="24"/>
        </w:rPr>
        <w:t xml:space="preserve"> is subject to periodic review and revision by the Board of Directors.</w:t>
      </w:r>
    </w:p>
    <w:p w:rsidR="00CD6D9E" w:rsidRPr="005E74CE" w:rsidRDefault="00CD6D9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right" w:pos="9216"/>
        </w:tabs>
        <w:ind w:left="0"/>
        <w:jc w:val="both"/>
        <w:rPr>
          <w:rFonts w:ascii="Arial Narrow" w:hAnsi="Arial Narrow"/>
          <w:sz w:val="24"/>
        </w:rPr>
      </w:pPr>
    </w:p>
    <w:p w:rsidR="00CD6D9E" w:rsidRPr="005E74CE" w:rsidRDefault="00B7060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right" w:pos="9216"/>
        </w:tabs>
        <w:ind w:left="0"/>
        <w:jc w:val="both"/>
        <w:rPr>
          <w:rFonts w:ascii="Arial Narrow" w:hAnsi="Arial Narrow"/>
          <w:sz w:val="24"/>
        </w:rPr>
      </w:pPr>
      <w:r w:rsidRPr="005E287A">
        <w:rPr>
          <w:rFonts w:ascii="Arial Narrow" w:hAnsi="Arial Narrow"/>
          <w:sz w:val="24"/>
        </w:rPr>
        <w:t>3505</w:t>
      </w:r>
      <w:r w:rsidR="00CD6D9E" w:rsidRPr="005E287A">
        <w:rPr>
          <w:rFonts w:ascii="Arial Narrow" w:hAnsi="Arial Narrow"/>
          <w:sz w:val="24"/>
        </w:rPr>
        <w:t>.2</w:t>
      </w:r>
      <w:r w:rsidR="00CD6D9E" w:rsidRPr="005E74CE">
        <w:rPr>
          <w:rFonts w:ascii="Arial Narrow" w:hAnsi="Arial Narrow"/>
          <w:sz w:val="24"/>
        </w:rPr>
        <w:t xml:space="preserve"> </w:t>
      </w:r>
      <w:r w:rsidR="005E74CE">
        <w:rPr>
          <w:rFonts w:ascii="Arial Narrow" w:hAnsi="Arial Narrow"/>
          <w:sz w:val="24"/>
        </w:rPr>
        <w:tab/>
      </w:r>
      <w:r w:rsidR="00CD6D9E" w:rsidRPr="005E74CE">
        <w:rPr>
          <w:rFonts w:ascii="Arial Narrow" w:hAnsi="Arial Narrow"/>
          <w:sz w:val="24"/>
        </w:rPr>
        <w:t xml:space="preserve"> Workers' Compensation Insurance.</w:t>
      </w:r>
      <w:r w:rsidR="005E74CE">
        <w:rPr>
          <w:rFonts w:ascii="Arial Narrow" w:hAnsi="Arial Narrow"/>
          <w:sz w:val="24"/>
        </w:rPr>
        <w:t xml:space="preserve"> </w:t>
      </w:r>
      <w:r w:rsidR="00CD6D9E" w:rsidRPr="005E74CE">
        <w:rPr>
          <w:rFonts w:ascii="Arial Narrow" w:hAnsi="Arial Narrow"/>
          <w:sz w:val="24"/>
        </w:rPr>
        <w:t>All District employees will be insured against injuries received while on the job as required by State law.</w:t>
      </w:r>
    </w:p>
    <w:p w:rsidR="00CD6D9E" w:rsidRPr="005E74CE" w:rsidRDefault="00CD6D9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right" w:pos="9216"/>
        </w:tabs>
        <w:ind w:left="0"/>
        <w:jc w:val="both"/>
        <w:rPr>
          <w:rFonts w:ascii="Arial Narrow" w:hAnsi="Arial Narrow"/>
          <w:sz w:val="24"/>
        </w:rPr>
      </w:pPr>
    </w:p>
    <w:p w:rsidR="00CD6D9E" w:rsidRPr="005E74CE" w:rsidRDefault="00B7060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right" w:pos="9216"/>
        </w:tabs>
        <w:ind w:left="0"/>
        <w:jc w:val="both"/>
        <w:rPr>
          <w:rFonts w:ascii="Arial Narrow" w:hAnsi="Arial Narrow"/>
          <w:sz w:val="24"/>
        </w:rPr>
      </w:pPr>
      <w:bookmarkStart w:id="0" w:name="_GoBack"/>
      <w:r w:rsidRPr="005E287A">
        <w:rPr>
          <w:rFonts w:ascii="Arial Narrow" w:hAnsi="Arial Narrow"/>
          <w:sz w:val="24"/>
        </w:rPr>
        <w:t>3505</w:t>
      </w:r>
      <w:r w:rsidR="00CD6D9E" w:rsidRPr="005E287A">
        <w:rPr>
          <w:rFonts w:ascii="Arial Narrow" w:hAnsi="Arial Narrow"/>
          <w:sz w:val="24"/>
        </w:rPr>
        <w:t>.3</w:t>
      </w:r>
      <w:r w:rsidR="00CD6D9E" w:rsidRPr="005E74CE">
        <w:rPr>
          <w:rFonts w:ascii="Arial Narrow" w:hAnsi="Arial Narrow"/>
          <w:sz w:val="24"/>
        </w:rPr>
        <w:t xml:space="preserve"> </w:t>
      </w:r>
      <w:bookmarkEnd w:id="0"/>
      <w:r w:rsidR="005E74CE">
        <w:rPr>
          <w:rFonts w:ascii="Arial Narrow" w:hAnsi="Arial Narrow"/>
          <w:sz w:val="24"/>
        </w:rPr>
        <w:tab/>
      </w:r>
      <w:r w:rsidR="00CD6D9E" w:rsidRPr="005E74CE">
        <w:rPr>
          <w:rFonts w:ascii="Arial Narrow" w:hAnsi="Arial Narrow"/>
          <w:sz w:val="24"/>
        </w:rPr>
        <w:t xml:space="preserve"> Retirement Plan.</w:t>
      </w:r>
      <w:r w:rsidR="005E74CE">
        <w:rPr>
          <w:rFonts w:ascii="Arial Narrow" w:hAnsi="Arial Narrow"/>
          <w:sz w:val="24"/>
        </w:rPr>
        <w:t xml:space="preserve"> </w:t>
      </w:r>
      <w:r w:rsidR="00CD6D9E" w:rsidRPr="005E74CE">
        <w:rPr>
          <w:rFonts w:ascii="Arial Narrow" w:hAnsi="Arial Narrow"/>
          <w:sz w:val="24"/>
        </w:rPr>
        <w:t>Upon achieving full-time employee status, employees shall be enrolled in the District's employee retirement plan.</w:t>
      </w:r>
      <w:r w:rsidR="00801D81" w:rsidRPr="005E74CE">
        <w:rPr>
          <w:rFonts w:ascii="Arial Narrow" w:hAnsi="Arial Narrow"/>
          <w:sz w:val="24"/>
        </w:rPr>
        <w:t xml:space="preserve"> The terms of the retirement plans provided to District employees is subject to periodic review and revision by the Board of Directors.</w:t>
      </w:r>
    </w:p>
    <w:p w:rsidR="00CD6D9E" w:rsidRPr="005E74CE" w:rsidRDefault="00CD6D9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right" w:pos="9216"/>
        </w:tabs>
        <w:ind w:left="0"/>
        <w:jc w:val="both"/>
        <w:rPr>
          <w:rFonts w:ascii="Arial Narrow" w:hAnsi="Arial Narrow"/>
          <w:sz w:val="24"/>
        </w:rPr>
      </w:pPr>
    </w:p>
    <w:p w:rsidR="00411280" w:rsidRPr="005E74CE" w:rsidRDefault="0041128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right" w:pos="9216"/>
        </w:tabs>
        <w:ind w:left="0"/>
        <w:jc w:val="both"/>
        <w:rPr>
          <w:rFonts w:ascii="Arial Narrow" w:hAnsi="Arial Narrow"/>
          <w:sz w:val="24"/>
        </w:rPr>
      </w:pPr>
    </w:p>
    <w:p w:rsidR="00CD6D9E" w:rsidRPr="005E74CE" w:rsidRDefault="00CD6D9E">
      <w:pPr>
        <w:pStyle w:val="CSDAPolicy1"/>
        <w:ind w:left="810"/>
      </w:pPr>
    </w:p>
    <w:sectPr w:rsidR="00CD6D9E" w:rsidRPr="005E74CE">
      <w:headerReference w:type="default" r:id="rId7"/>
      <w:footerReference w:type="default" r:id="rId8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124" w:rsidRDefault="008C2124">
      <w:r>
        <w:separator/>
      </w:r>
    </w:p>
  </w:endnote>
  <w:endnote w:type="continuationSeparator" w:id="0">
    <w:p w:rsidR="008C2124" w:rsidRDefault="008C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D9E" w:rsidRDefault="008B4D93" w:rsidP="008B4D93">
    <w:pPr>
      <w:tabs>
        <w:tab w:val="left" w:pos="3915"/>
      </w:tabs>
      <w:rPr>
        <w:rFonts w:ascii="Arial Narrow" w:hAnsi="Arial Narrow"/>
        <w:sz w:val="24"/>
      </w:rPr>
    </w:pPr>
    <w:r>
      <w:rPr>
        <w:rFonts w:ascii="Arial Narrow" w:hAnsi="Arial Narrow"/>
        <w:sz w:val="24"/>
      </w:rPr>
      <w:tab/>
    </w:r>
    <w:r w:rsidRPr="008B4D93">
      <w:rPr>
        <w:rFonts w:ascii="Arial Narrow" w:hAnsi="Arial Narrow"/>
        <w:noProof/>
        <w:sz w:val="24"/>
      </w:rPr>
      <w:drawing>
        <wp:anchor distT="0" distB="0" distL="114300" distR="114300" simplePos="0" relativeHeight="251660288" behindDoc="0" locked="0" layoutInCell="1" allowOverlap="1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1" name="Picture 1" descr="H:\Department Folders\Member Services\Shared Membership Folder\Sample Policy Handbook\6th Edition, 2016\Production\covers, footers, headers etc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Department Folders\Member Services\Shared Membership Folder\Sample Policy Handbook\6th Edition, 2016\Production\covers, footers, headers etc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124" w:rsidRDefault="008C2124">
      <w:r>
        <w:separator/>
      </w:r>
    </w:p>
  </w:footnote>
  <w:footnote w:type="continuationSeparator" w:id="0">
    <w:p w:rsidR="008C2124" w:rsidRDefault="008C2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565" w:rsidRDefault="00D605B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374775"/>
          <wp:effectExtent l="0" t="0" r="0" b="0"/>
          <wp:wrapSquare wrapText="bothSides"/>
          <wp:docPr id="3" name="Picture 1" descr="C:\Users\cassandras\AppData\Local\Microsoft\Windows\INetCache\Content.Word\SPH header Personnel Healt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Personnel Health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374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2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3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6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7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8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0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1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2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>
    <w:abstractNumId w:val="18"/>
  </w:num>
  <w:num w:numId="13">
    <w:abstractNumId w:val="19"/>
  </w:num>
  <w:num w:numId="1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>
    <w:abstractNumId w:val="17"/>
  </w:num>
  <w:num w:numId="16">
    <w:abstractNumId w:val="20"/>
  </w:num>
  <w:num w:numId="17">
    <w:abstractNumId w:val="11"/>
  </w:num>
  <w:num w:numId="18">
    <w:abstractNumId w:val="19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>
    <w:abstractNumId w:val="15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>
    <w:abstractNumId w:val="21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>
    <w:abstractNumId w:val="16"/>
  </w:num>
  <w:num w:numId="22">
    <w:abstractNumId w:val="14"/>
  </w:num>
  <w:num w:numId="23">
    <w:abstractNumId w:val="13"/>
  </w:num>
  <w:num w:numId="24">
    <w:abstractNumId w:val="2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80"/>
    <w:rsid w:val="003B104B"/>
    <w:rsid w:val="003D2BBD"/>
    <w:rsid w:val="00407CB1"/>
    <w:rsid w:val="00411280"/>
    <w:rsid w:val="004E0D68"/>
    <w:rsid w:val="00595AD2"/>
    <w:rsid w:val="005B75B4"/>
    <w:rsid w:val="005E287A"/>
    <w:rsid w:val="005E74CE"/>
    <w:rsid w:val="007D2DDB"/>
    <w:rsid w:val="00801D81"/>
    <w:rsid w:val="00857C72"/>
    <w:rsid w:val="008B4D93"/>
    <w:rsid w:val="008C2124"/>
    <w:rsid w:val="009B5D3A"/>
    <w:rsid w:val="00AE7FB5"/>
    <w:rsid w:val="00B70607"/>
    <w:rsid w:val="00BD1A30"/>
    <w:rsid w:val="00C415B3"/>
    <w:rsid w:val="00CD6D9E"/>
    <w:rsid w:val="00D605B5"/>
    <w:rsid w:val="00DA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C415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415B3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/>
  <cp:keywords/>
  <dc:description/>
  <cp:lastModifiedBy/>
  <cp:revision>1</cp:revision>
  <cp:lastPrinted>2017-04-18T21:09:00Z</cp:lastPrinted>
  <dcterms:created xsi:type="dcterms:W3CDTF">2017-04-18T21:09:00Z</dcterms:created>
  <dcterms:modified xsi:type="dcterms:W3CDTF">2017-05-15T21:22:00Z</dcterms:modified>
</cp:coreProperties>
</file>