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301E" w14:textId="77777777" w:rsidR="00C13903" w:rsidRPr="00986DD5" w:rsidRDefault="00C13903">
      <w:pPr>
        <w:pStyle w:val="CSDAPolicy1"/>
        <w:rPr>
          <w:b/>
          <w:bCs/>
          <w:spacing w:val="-4"/>
        </w:rPr>
      </w:pPr>
      <w:r w:rsidRPr="00986DD5">
        <w:rPr>
          <w:b/>
          <w:bCs/>
          <w:spacing w:val="-4"/>
        </w:rPr>
        <w:t>POLICY TITLE:</w:t>
      </w:r>
      <w:r w:rsidRPr="00986DD5">
        <w:rPr>
          <w:b/>
          <w:bCs/>
          <w:spacing w:val="-4"/>
        </w:rPr>
        <w:tab/>
      </w:r>
      <w:r w:rsidR="002417C4" w:rsidRPr="00986DD5">
        <w:rPr>
          <w:b/>
          <w:bCs/>
          <w:spacing w:val="-4"/>
        </w:rPr>
        <w:t>Ethics Training</w:t>
      </w:r>
    </w:p>
    <w:p w14:paraId="168AF489" w14:textId="77777777" w:rsidR="00C13903" w:rsidRPr="00986DD5" w:rsidRDefault="00C13903">
      <w:pPr>
        <w:pStyle w:val="CSDAPolicy1"/>
        <w:rPr>
          <w:b/>
          <w:bCs/>
          <w:spacing w:val="-4"/>
        </w:rPr>
      </w:pPr>
      <w:r w:rsidRPr="00986DD5">
        <w:rPr>
          <w:b/>
          <w:bCs/>
          <w:spacing w:val="-4"/>
        </w:rPr>
        <w:t>POLICY NUMBER:</w:t>
      </w:r>
      <w:r w:rsidRPr="00986DD5">
        <w:rPr>
          <w:b/>
          <w:bCs/>
          <w:spacing w:val="-4"/>
        </w:rPr>
        <w:tab/>
        <w:t>4</w:t>
      </w:r>
      <w:r w:rsidR="00216475" w:rsidRPr="00986DD5">
        <w:rPr>
          <w:b/>
          <w:bCs/>
          <w:spacing w:val="-4"/>
        </w:rPr>
        <w:t>11</w:t>
      </w:r>
      <w:r w:rsidR="002417C4" w:rsidRPr="00986DD5">
        <w:rPr>
          <w:b/>
          <w:bCs/>
          <w:spacing w:val="-4"/>
        </w:rPr>
        <w:t>5</w:t>
      </w:r>
    </w:p>
    <w:p w14:paraId="6BD3F0C7" w14:textId="77777777" w:rsidR="00C13903" w:rsidRPr="00986DD5" w:rsidRDefault="00C13903">
      <w:pPr>
        <w:pStyle w:val="CSDAPolicy1"/>
        <w:rPr>
          <w:bCs/>
          <w:spacing w:val="-4"/>
        </w:rPr>
      </w:pPr>
    </w:p>
    <w:p w14:paraId="3CC8E74C" w14:textId="77777777" w:rsidR="00C13903" w:rsidRPr="00986DD5" w:rsidRDefault="00C13903">
      <w:pPr>
        <w:pStyle w:val="CSDAPolicy1"/>
        <w:rPr>
          <w:spacing w:val="-4"/>
        </w:rPr>
      </w:pPr>
    </w:p>
    <w:p w14:paraId="025E22C2" w14:textId="3820A9AB" w:rsidR="002417C4" w:rsidRPr="00986DD5" w:rsidRDefault="002417C4" w:rsidP="002417C4">
      <w:pPr>
        <w:pStyle w:val="CSDAPolicy1"/>
        <w:rPr>
          <w:spacing w:val="-4"/>
        </w:rPr>
      </w:pPr>
      <w:r w:rsidRPr="00986DD5">
        <w:rPr>
          <w:spacing w:val="-4"/>
        </w:rPr>
        <w:t>4115.1</w:t>
      </w:r>
      <w:r w:rsidRPr="00986DD5">
        <w:rPr>
          <w:spacing w:val="-4"/>
        </w:rPr>
        <w:tab/>
        <w:t xml:space="preserve">All Directors, designated staff, and members of all commissions, committees and other bodies that are subject to the Brown Act shall </w:t>
      </w:r>
      <w:r w:rsidRPr="004E35F7">
        <w:rPr>
          <w:spacing w:val="-4"/>
          <w:szCs w:val="24"/>
        </w:rPr>
        <w:t xml:space="preserve">receive two hours of training in general ethics principles and ethics laws relevant to public service within one year </w:t>
      </w:r>
      <w:r w:rsidR="004E35F7" w:rsidRPr="004E35F7">
        <w:rPr>
          <w:spacing w:val="-4"/>
          <w:szCs w:val="24"/>
        </w:rPr>
        <w:t>from</w:t>
      </w:r>
      <w:r w:rsidR="004E35F7">
        <w:rPr>
          <w:spacing w:val="-4"/>
          <w:szCs w:val="24"/>
        </w:rPr>
        <w:t xml:space="preserve"> the first day of service in that capacity </w:t>
      </w:r>
      <w:r w:rsidRPr="004E35F7">
        <w:rPr>
          <w:spacing w:val="-4"/>
          <w:szCs w:val="24"/>
        </w:rPr>
        <w:t>and at least once every two years thereafter, pursuant to Governm</w:t>
      </w:r>
      <w:r w:rsidR="0050684A" w:rsidRPr="004E35F7">
        <w:rPr>
          <w:spacing w:val="-4"/>
          <w:szCs w:val="24"/>
        </w:rPr>
        <w:t>ent Code Sections 53234 et seq.</w:t>
      </w:r>
      <w:r w:rsidRPr="004E35F7">
        <w:rPr>
          <w:spacing w:val="-4"/>
          <w:szCs w:val="24"/>
        </w:rPr>
        <w:t xml:space="preserve"> as may be amended from time to time.</w:t>
      </w:r>
    </w:p>
    <w:p w14:paraId="70681F46" w14:textId="77777777" w:rsidR="002417C4" w:rsidRPr="00986DD5" w:rsidRDefault="002417C4" w:rsidP="002417C4">
      <w:pPr>
        <w:pStyle w:val="CSDAPolicy1"/>
        <w:rPr>
          <w:spacing w:val="-4"/>
        </w:rPr>
      </w:pPr>
    </w:p>
    <w:p w14:paraId="6584C67A" w14:textId="77777777" w:rsidR="002417C4" w:rsidRPr="00986DD5" w:rsidRDefault="002417C4" w:rsidP="00986DD5">
      <w:pPr>
        <w:pStyle w:val="CSDAPolicy1"/>
        <w:ind w:left="720" w:hanging="720"/>
        <w:rPr>
          <w:spacing w:val="-4"/>
        </w:rPr>
      </w:pPr>
      <w:r w:rsidRPr="00986DD5">
        <w:rPr>
          <w:spacing w:val="-4"/>
        </w:rPr>
        <w:tab/>
        <w:t>4115.1.1</w:t>
      </w:r>
      <w:r w:rsidRPr="00986DD5">
        <w:rPr>
          <w:spacing w:val="-4"/>
        </w:rPr>
        <w:tab/>
        <w:t>All ethics training shall be provided by providers whose curricula have been approved by the California Attorney General and the Fair Political Practices Commission.</w:t>
      </w:r>
    </w:p>
    <w:p w14:paraId="31BF2571" w14:textId="77777777" w:rsidR="002417C4" w:rsidRPr="00986DD5" w:rsidRDefault="002417C4" w:rsidP="002417C4">
      <w:pPr>
        <w:pStyle w:val="CSDAPolicy1"/>
        <w:rPr>
          <w:spacing w:val="-4"/>
        </w:rPr>
      </w:pPr>
    </w:p>
    <w:p w14:paraId="0D0C21D7" w14:textId="77777777" w:rsidR="002417C4" w:rsidRPr="00986DD5" w:rsidRDefault="002417C4" w:rsidP="00986DD5">
      <w:pPr>
        <w:pStyle w:val="CSDAPolicy1"/>
        <w:ind w:left="720" w:hanging="720"/>
        <w:rPr>
          <w:spacing w:val="-4"/>
        </w:rPr>
      </w:pPr>
      <w:r w:rsidRPr="00986DD5">
        <w:rPr>
          <w:spacing w:val="-4"/>
        </w:rPr>
        <w:tab/>
        <w:t xml:space="preserve">4115.1.2 </w:t>
      </w:r>
      <w:r w:rsidRPr="00986DD5">
        <w:rPr>
          <w:spacing w:val="-4"/>
        </w:rPr>
        <w:tab/>
        <w:t>Ethics training may consist of either a training course or a set of self-study materials with tests, and may be taken at home, in person</w:t>
      </w:r>
      <w:r w:rsidR="00BA0A20">
        <w:rPr>
          <w:spacing w:val="-4"/>
        </w:rPr>
        <w:t>,</w:t>
      </w:r>
      <w:r w:rsidRPr="00986DD5">
        <w:rPr>
          <w:spacing w:val="-4"/>
        </w:rPr>
        <w:t xml:space="preserve"> or online.</w:t>
      </w:r>
    </w:p>
    <w:p w14:paraId="257AFB04" w14:textId="77777777" w:rsidR="002417C4" w:rsidRPr="00986DD5" w:rsidRDefault="002417C4" w:rsidP="002417C4">
      <w:pPr>
        <w:pStyle w:val="CSDAPolicy1"/>
        <w:rPr>
          <w:spacing w:val="-4"/>
        </w:rPr>
      </w:pPr>
    </w:p>
    <w:p w14:paraId="79FC8DFC" w14:textId="77777777" w:rsidR="002417C4" w:rsidRPr="00986DD5" w:rsidRDefault="002417C4" w:rsidP="00986DD5">
      <w:pPr>
        <w:pStyle w:val="CSDAPolicy1"/>
        <w:ind w:left="720" w:hanging="720"/>
        <w:rPr>
          <w:spacing w:val="-4"/>
        </w:rPr>
      </w:pPr>
      <w:r w:rsidRPr="00986DD5">
        <w:rPr>
          <w:spacing w:val="-4"/>
        </w:rPr>
        <w:tab/>
        <w:t>4115.1.3</w:t>
      </w:r>
      <w:r w:rsidRPr="00986DD5">
        <w:rPr>
          <w:spacing w:val="-4"/>
        </w:rPr>
        <w:tab/>
        <w:t>Attendees shall obtain proof of participation after completing the ethics training.</w:t>
      </w:r>
      <w:r w:rsidR="00986DD5">
        <w:rPr>
          <w:spacing w:val="-4"/>
        </w:rPr>
        <w:t xml:space="preserve"> </w:t>
      </w:r>
      <w:r w:rsidRPr="00986DD5">
        <w:rPr>
          <w:spacing w:val="-4"/>
        </w:rPr>
        <w:t>Applicable costs for attending the training shall be reimbursed by the District.</w:t>
      </w:r>
    </w:p>
    <w:p w14:paraId="68DFEBF7" w14:textId="77777777" w:rsidR="002417C4" w:rsidRPr="00986DD5" w:rsidRDefault="002417C4" w:rsidP="002417C4">
      <w:pPr>
        <w:pStyle w:val="CSDAPolicy1"/>
        <w:rPr>
          <w:spacing w:val="-4"/>
        </w:rPr>
      </w:pPr>
    </w:p>
    <w:p w14:paraId="716C4077" w14:textId="77777777" w:rsidR="002417C4" w:rsidRPr="00986DD5" w:rsidRDefault="002417C4" w:rsidP="00986DD5">
      <w:pPr>
        <w:pStyle w:val="CSDAPolicy1"/>
        <w:ind w:left="1800" w:hanging="1800"/>
        <w:rPr>
          <w:spacing w:val="-4"/>
        </w:rPr>
      </w:pPr>
      <w:r w:rsidRPr="00986DD5">
        <w:rPr>
          <w:spacing w:val="-4"/>
        </w:rPr>
        <w:tab/>
      </w:r>
      <w:r w:rsidRPr="00986DD5">
        <w:rPr>
          <w:spacing w:val="-4"/>
        </w:rPr>
        <w:tab/>
        <w:t>4115.1.3.1</w:t>
      </w:r>
      <w:r w:rsidRPr="00986DD5">
        <w:rPr>
          <w:spacing w:val="-4"/>
        </w:rPr>
        <w:tab/>
        <w:t>District staff shall maintain records indicating both the dates that attendees completed the ethics training and the name of the provider that provided the training. These records shall be maintained for at least five years after the date of training and may be public records subject to disclosure under the California Public Records Act.</w:t>
      </w:r>
    </w:p>
    <w:p w14:paraId="60F1F7FC" w14:textId="77777777" w:rsidR="002417C4" w:rsidRPr="00986DD5" w:rsidRDefault="002417C4" w:rsidP="002417C4">
      <w:pPr>
        <w:pStyle w:val="CSDAPolicy1"/>
        <w:rPr>
          <w:spacing w:val="-4"/>
        </w:rPr>
      </w:pPr>
    </w:p>
    <w:p w14:paraId="3DC367F9" w14:textId="77777777" w:rsidR="002417C4" w:rsidRPr="00986DD5" w:rsidRDefault="002417C4" w:rsidP="00986DD5">
      <w:pPr>
        <w:pStyle w:val="CSDAPolicy1"/>
        <w:ind w:left="720" w:hanging="720"/>
        <w:rPr>
          <w:spacing w:val="-4"/>
        </w:rPr>
      </w:pPr>
      <w:r w:rsidRPr="00986DD5">
        <w:rPr>
          <w:spacing w:val="-4"/>
        </w:rPr>
        <w:tab/>
        <w:t>4115.1.4</w:t>
      </w:r>
      <w:r w:rsidRPr="00986DD5">
        <w:rPr>
          <w:spacing w:val="-4"/>
        </w:rPr>
        <w:tab/>
        <w:t>District staff shall provide the prospective attendees with information on available training that meets the requirements of this policy at least once every year.</w:t>
      </w:r>
    </w:p>
    <w:p w14:paraId="0C7884BE" w14:textId="77777777" w:rsidR="002417C4" w:rsidRPr="00986DD5" w:rsidRDefault="002417C4" w:rsidP="002417C4">
      <w:pPr>
        <w:pStyle w:val="CSDAPolicy1"/>
        <w:rPr>
          <w:spacing w:val="-4"/>
        </w:rPr>
      </w:pPr>
    </w:p>
    <w:p w14:paraId="068912DE" w14:textId="77777777" w:rsidR="002417C4" w:rsidRPr="00986DD5" w:rsidRDefault="002417C4" w:rsidP="00986DD5">
      <w:pPr>
        <w:pStyle w:val="CSDAPolicy1"/>
        <w:ind w:left="720" w:hanging="720"/>
        <w:rPr>
          <w:spacing w:val="-4"/>
        </w:rPr>
      </w:pPr>
      <w:r w:rsidRPr="00986DD5">
        <w:rPr>
          <w:spacing w:val="-4"/>
        </w:rPr>
        <w:tab/>
        <w:t>4115.1.5</w:t>
      </w:r>
      <w:r w:rsidRPr="00986DD5">
        <w:rPr>
          <w:spacing w:val="-4"/>
        </w:rPr>
        <w:tab/>
        <w:t xml:space="preserve">A single training course may be used to satisfy the obligation to receive training for multiple agencies or positions. </w:t>
      </w:r>
    </w:p>
    <w:p w14:paraId="53A577B5" w14:textId="77777777" w:rsidR="00C13903" w:rsidRPr="00986DD5" w:rsidRDefault="002417C4">
      <w:pPr>
        <w:pStyle w:val="CSDAPolicy1"/>
        <w:rPr>
          <w:spacing w:val="-4"/>
        </w:rPr>
      </w:pPr>
      <w:r w:rsidRPr="00986DD5">
        <w:rPr>
          <w:spacing w:val="-4"/>
        </w:rPr>
        <w:tab/>
      </w:r>
    </w:p>
    <w:sectPr w:rsidR="00C13903" w:rsidRPr="00986DD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A6CD4" w14:textId="77777777" w:rsidR="008E1163" w:rsidRDefault="008E1163">
      <w:r>
        <w:separator/>
      </w:r>
    </w:p>
  </w:endnote>
  <w:endnote w:type="continuationSeparator" w:id="0">
    <w:p w14:paraId="020A4516" w14:textId="77777777" w:rsidR="008E1163" w:rsidRDefault="008E1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6DE3" w14:textId="77777777" w:rsidR="00C66BBA" w:rsidRDefault="00C66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1AE0" w14:textId="0EB54304" w:rsidR="00216475" w:rsidRDefault="00C66BBA" w:rsidP="00FE34C7">
    <w:pPr>
      <w:tabs>
        <w:tab w:val="left" w:pos="2565"/>
        <w:tab w:val="center" w:pos="4680"/>
        <w:tab w:val="right" w:pos="9360"/>
      </w:tabs>
      <w:jc w:val="both"/>
      <w:rPr>
        <w:rFonts w:ascii="Arial Narrow" w:hAnsi="Arial Narrow"/>
        <w:sz w:val="24"/>
      </w:rPr>
    </w:pPr>
    <w:r w:rsidRPr="00B9018D">
      <w:rPr>
        <w:rFonts w:ascii="Arial Narrow" w:hAnsi="Arial Narrow"/>
        <w:noProof/>
        <w:sz w:val="16"/>
        <w:szCs w:val="16"/>
      </w:rPr>
      <w:drawing>
        <wp:anchor distT="0" distB="0" distL="114300" distR="114300" simplePos="0" relativeHeight="251671552" behindDoc="0" locked="0" layoutInCell="1" allowOverlap="1" wp14:anchorId="032942B0" wp14:editId="71014262">
          <wp:simplePos x="1781175" y="8286750"/>
          <wp:positionH relativeFrom="page">
            <wp:align>left</wp:align>
          </wp:positionH>
          <wp:positionV relativeFrom="page">
            <wp:align>bottom</wp:align>
          </wp:positionV>
          <wp:extent cx="777240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r w:rsidR="00216475">
      <w:rPr>
        <w:rFonts w:ascii="Arial Narrow" w:hAnsi="Arial Narrow"/>
        <w:sz w:val="16"/>
        <w:szCs w:val="16"/>
      </w:rPr>
      <w:tab/>
    </w:r>
    <w:r w:rsidR="00216475">
      <w:rPr>
        <w:rFonts w:ascii="Arial Narrow" w:hAnsi="Arial Narrow"/>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D0003" w14:textId="77777777" w:rsidR="00C66BBA" w:rsidRDefault="00C66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9827B" w14:textId="77777777" w:rsidR="008E1163" w:rsidRDefault="008E1163">
      <w:r>
        <w:separator/>
      </w:r>
    </w:p>
  </w:footnote>
  <w:footnote w:type="continuationSeparator" w:id="0">
    <w:p w14:paraId="5087FC07" w14:textId="77777777" w:rsidR="008E1163" w:rsidRDefault="008E1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8BEF6" w14:textId="77777777" w:rsidR="00C66BBA" w:rsidRDefault="00C66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D839" w14:textId="77777777" w:rsidR="00EE226F" w:rsidRPr="00EE226F" w:rsidRDefault="00EE226F" w:rsidP="00EE226F">
    <w:pPr>
      <w:pStyle w:val="Header"/>
    </w:pPr>
    <w:r>
      <w:rPr>
        <w:noProof/>
      </w:rPr>
      <w:drawing>
        <wp:anchor distT="0" distB="0" distL="114300" distR="114300" simplePos="0" relativeHeight="251670528" behindDoc="0" locked="0" layoutInCell="1" allowOverlap="1" wp14:anchorId="019D1CB4" wp14:editId="0362DF9D">
          <wp:simplePos x="1781175" y="733425"/>
          <wp:positionH relativeFrom="page">
            <wp:align>left</wp:align>
          </wp:positionH>
          <wp:positionV relativeFrom="page">
            <wp:align>top</wp:align>
          </wp:positionV>
          <wp:extent cx="7755165" cy="1371600"/>
          <wp:effectExtent l="0" t="0" r="0" b="0"/>
          <wp:wrapSquare wrapText="bothSides"/>
          <wp:docPr id="1" name="Picture 1" descr="C:\Users\cassandras\AppData\Local\Microsoft\Windows\INetCache\Content.Word\SPH header Board Dir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Board Director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E3A4F" w14:textId="77777777" w:rsidR="00C66BBA" w:rsidRDefault="00C66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2" w15:restartNumberingAfterBreak="0">
    <w:nsid w:val="14A70D67"/>
    <w:multiLevelType w:val="hybridMultilevel"/>
    <w:tmpl w:val="D278C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2A6703E"/>
    <w:multiLevelType w:val="hybridMultilevel"/>
    <w:tmpl w:val="B302E2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B954E4"/>
    <w:multiLevelType w:val="multilevel"/>
    <w:tmpl w:val="FECC9FB6"/>
    <w:lvl w:ilvl="0">
      <w:start w:val="4060"/>
      <w:numFmt w:val="decimal"/>
      <w:lvlText w:val="%1"/>
      <w:lvlJc w:val="left"/>
      <w:pPr>
        <w:tabs>
          <w:tab w:val="num" w:pos="990"/>
        </w:tabs>
        <w:ind w:left="990" w:hanging="990"/>
      </w:pPr>
      <w:rPr>
        <w:rFonts w:hint="default"/>
      </w:rPr>
    </w:lvl>
    <w:lvl w:ilvl="1">
      <w:start w:val="2"/>
      <w:numFmt w:val="decimal"/>
      <w:lvlText w:val="%1.%2"/>
      <w:lvlJc w:val="left"/>
      <w:pPr>
        <w:tabs>
          <w:tab w:val="num" w:pos="1395"/>
        </w:tabs>
        <w:ind w:left="1395" w:hanging="990"/>
      </w:pPr>
      <w:rPr>
        <w:rFonts w:hint="default"/>
      </w:rPr>
    </w:lvl>
    <w:lvl w:ilvl="2">
      <w:start w:val="1"/>
      <w:numFmt w:val="decimal"/>
      <w:lvlText w:val="%1.%2.%3"/>
      <w:lvlJc w:val="left"/>
      <w:pPr>
        <w:tabs>
          <w:tab w:val="num" w:pos="1800"/>
        </w:tabs>
        <w:ind w:left="1800" w:hanging="990"/>
      </w:pPr>
      <w:rPr>
        <w:rFonts w:hint="default"/>
      </w:rPr>
    </w:lvl>
    <w:lvl w:ilvl="3">
      <w:start w:val="1"/>
      <w:numFmt w:val="decimal"/>
      <w:lvlText w:val="%1.%2.%3.%4"/>
      <w:lvlJc w:val="left"/>
      <w:pPr>
        <w:tabs>
          <w:tab w:val="num" w:pos="2205"/>
        </w:tabs>
        <w:ind w:left="2205" w:hanging="990"/>
      </w:pPr>
      <w:rPr>
        <w:rFonts w:hint="default"/>
      </w:rPr>
    </w:lvl>
    <w:lvl w:ilvl="4">
      <w:start w:val="1"/>
      <w:numFmt w:val="decimal"/>
      <w:lvlText w:val="%1.%2.%3.%4.%5"/>
      <w:lvlJc w:val="left"/>
      <w:pPr>
        <w:tabs>
          <w:tab w:val="num" w:pos="2610"/>
        </w:tabs>
        <w:ind w:left="2610" w:hanging="99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4680"/>
        </w:tabs>
        <w:ind w:left="4680" w:hanging="1440"/>
      </w:pPr>
      <w:rPr>
        <w:rFonts w:hint="default"/>
      </w:rPr>
    </w:lvl>
  </w:abstractNum>
  <w:abstractNum w:abstractNumId="16" w15:restartNumberingAfterBreak="0">
    <w:nsid w:val="2A3030A1"/>
    <w:multiLevelType w:val="singleLevel"/>
    <w:tmpl w:val="6DCCA5CE"/>
    <w:lvl w:ilvl="0">
      <w:start w:val="1"/>
      <w:numFmt w:val="none"/>
      <w:lvlText w:val=""/>
      <w:legacy w:legacy="1" w:legacySpace="0" w:legacyIndent="0"/>
      <w:lvlJc w:val="left"/>
    </w:lvl>
  </w:abstractNum>
  <w:abstractNum w:abstractNumId="17" w15:restartNumberingAfterBreak="0">
    <w:nsid w:val="2D9E4A94"/>
    <w:multiLevelType w:val="singleLevel"/>
    <w:tmpl w:val="6DCCA5CE"/>
    <w:lvl w:ilvl="0">
      <w:start w:val="1"/>
      <w:numFmt w:val="none"/>
      <w:lvlText w:val=""/>
      <w:legacy w:legacy="1" w:legacySpace="0" w:legacyIndent="0"/>
      <w:lvlJc w:val="left"/>
    </w:lvl>
  </w:abstractNum>
  <w:abstractNum w:abstractNumId="18" w15:restartNumberingAfterBreak="0">
    <w:nsid w:val="40152EAB"/>
    <w:multiLevelType w:val="singleLevel"/>
    <w:tmpl w:val="2034CD5C"/>
    <w:lvl w:ilvl="0">
      <w:numFmt w:val="decimal"/>
      <w:lvlText w:val="*"/>
      <w:lvlJc w:val="left"/>
    </w:lvl>
  </w:abstractNum>
  <w:abstractNum w:abstractNumId="19" w15:restartNumberingAfterBreak="0">
    <w:nsid w:val="46B310A4"/>
    <w:multiLevelType w:val="singleLevel"/>
    <w:tmpl w:val="6DCCA5CE"/>
    <w:lvl w:ilvl="0">
      <w:start w:val="1"/>
      <w:numFmt w:val="none"/>
      <w:lvlText w:val=""/>
      <w:legacy w:legacy="1" w:legacySpace="0" w:legacyIndent="0"/>
      <w:lvlJc w:val="left"/>
    </w:lvl>
  </w:abstractNum>
  <w:abstractNum w:abstractNumId="20"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21"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2"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3" w15:restartNumberingAfterBreak="0">
    <w:nsid w:val="5B4356E1"/>
    <w:multiLevelType w:val="hybridMultilevel"/>
    <w:tmpl w:val="5EFA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BE216E"/>
    <w:multiLevelType w:val="singleLevel"/>
    <w:tmpl w:val="6DCCA5CE"/>
    <w:lvl w:ilvl="0">
      <w:start w:val="1"/>
      <w:numFmt w:val="none"/>
      <w:lvlText w:val=""/>
      <w:legacy w:legacy="1" w:legacySpace="0" w:legacyIndent="0"/>
      <w:lvlJc w:val="left"/>
    </w:lvl>
  </w:abstractNum>
  <w:abstractNum w:abstractNumId="25" w15:restartNumberingAfterBreak="0">
    <w:nsid w:val="6E76003D"/>
    <w:multiLevelType w:val="singleLevel"/>
    <w:tmpl w:val="BDF4B83C"/>
    <w:lvl w:ilvl="0">
      <w:numFmt w:val="decimal"/>
      <w:lvlText w:val="*"/>
      <w:lvlJc w:val="left"/>
    </w:lvl>
  </w:abstractNum>
  <w:abstractNum w:abstractNumId="26" w15:restartNumberingAfterBreak="0">
    <w:nsid w:val="72CD6C42"/>
    <w:multiLevelType w:val="hybridMultilevel"/>
    <w:tmpl w:val="D6DA08C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BF25134"/>
    <w:multiLevelType w:val="singleLevel"/>
    <w:tmpl w:val="6DCCA5CE"/>
    <w:lvl w:ilvl="0">
      <w:start w:val="1"/>
      <w:numFmt w:val="none"/>
      <w:lvlText w:val=""/>
      <w:legacy w:legacy="1" w:legacySpace="0" w:legacyIndent="0"/>
      <w:lvlJc w:val="left"/>
    </w:lvl>
  </w:abstractNum>
  <w:num w:numId="1" w16cid:durableId="1006907190">
    <w:abstractNumId w:val="9"/>
  </w:num>
  <w:num w:numId="2" w16cid:durableId="1027409772">
    <w:abstractNumId w:val="7"/>
  </w:num>
  <w:num w:numId="3" w16cid:durableId="1167284606">
    <w:abstractNumId w:val="6"/>
  </w:num>
  <w:num w:numId="4" w16cid:durableId="1253318094">
    <w:abstractNumId w:val="5"/>
  </w:num>
  <w:num w:numId="5" w16cid:durableId="1956517296">
    <w:abstractNumId w:val="4"/>
  </w:num>
  <w:num w:numId="6" w16cid:durableId="987780545">
    <w:abstractNumId w:val="8"/>
  </w:num>
  <w:num w:numId="7" w16cid:durableId="2043049343">
    <w:abstractNumId w:val="3"/>
  </w:num>
  <w:num w:numId="8" w16cid:durableId="2076003140">
    <w:abstractNumId w:val="2"/>
  </w:num>
  <w:num w:numId="9" w16cid:durableId="28796726">
    <w:abstractNumId w:val="1"/>
  </w:num>
  <w:num w:numId="10" w16cid:durableId="768234340">
    <w:abstractNumId w:val="0"/>
  </w:num>
  <w:num w:numId="11" w16cid:durableId="1342513572">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2078746684">
    <w:abstractNumId w:val="21"/>
  </w:num>
  <w:num w:numId="13" w16cid:durableId="216481079">
    <w:abstractNumId w:val="22"/>
  </w:num>
  <w:num w:numId="14" w16cid:durableId="1418013665">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346753360">
    <w:abstractNumId w:val="20"/>
  </w:num>
  <w:num w:numId="16" w16cid:durableId="323508843">
    <w:abstractNumId w:val="24"/>
  </w:num>
  <w:num w:numId="17" w16cid:durableId="395779590">
    <w:abstractNumId w:val="11"/>
  </w:num>
  <w:num w:numId="18" w16cid:durableId="1764456045">
    <w:abstractNumId w:val="22"/>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1893803908">
    <w:abstractNumId w:val="18"/>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1846287791">
    <w:abstractNumId w:val="25"/>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1192956385">
    <w:abstractNumId w:val="19"/>
  </w:num>
  <w:num w:numId="22" w16cid:durableId="490367058">
    <w:abstractNumId w:val="17"/>
  </w:num>
  <w:num w:numId="23" w16cid:durableId="529606851">
    <w:abstractNumId w:val="16"/>
  </w:num>
  <w:num w:numId="24" w16cid:durableId="47149747">
    <w:abstractNumId w:val="27"/>
  </w:num>
  <w:num w:numId="25" w16cid:durableId="211619167">
    <w:abstractNumId w:val="13"/>
  </w:num>
  <w:num w:numId="26" w16cid:durableId="1725332850">
    <w:abstractNumId w:val="15"/>
  </w:num>
  <w:num w:numId="27" w16cid:durableId="128792237">
    <w:abstractNumId w:val="14"/>
  </w:num>
  <w:num w:numId="28" w16cid:durableId="1200627528">
    <w:abstractNumId w:val="23"/>
  </w:num>
  <w:num w:numId="29" w16cid:durableId="281499181">
    <w:abstractNumId w:val="12"/>
  </w:num>
  <w:num w:numId="30" w16cid:durableId="7202545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5D2"/>
    <w:rsid w:val="00051A40"/>
    <w:rsid w:val="0007493D"/>
    <w:rsid w:val="001B0393"/>
    <w:rsid w:val="00216475"/>
    <w:rsid w:val="00217600"/>
    <w:rsid w:val="002417C4"/>
    <w:rsid w:val="002A16DD"/>
    <w:rsid w:val="0032752F"/>
    <w:rsid w:val="00370B8D"/>
    <w:rsid w:val="00452A72"/>
    <w:rsid w:val="004653AF"/>
    <w:rsid w:val="004E35F7"/>
    <w:rsid w:val="0050684A"/>
    <w:rsid w:val="00590841"/>
    <w:rsid w:val="005D2C46"/>
    <w:rsid w:val="0060034A"/>
    <w:rsid w:val="006679F4"/>
    <w:rsid w:val="006F7B43"/>
    <w:rsid w:val="00795532"/>
    <w:rsid w:val="00797079"/>
    <w:rsid w:val="007E3F76"/>
    <w:rsid w:val="008355D2"/>
    <w:rsid w:val="0088634E"/>
    <w:rsid w:val="008A6C4A"/>
    <w:rsid w:val="008C25E6"/>
    <w:rsid w:val="008E1163"/>
    <w:rsid w:val="008E3ECB"/>
    <w:rsid w:val="00900490"/>
    <w:rsid w:val="009206E4"/>
    <w:rsid w:val="00966EA8"/>
    <w:rsid w:val="009854E9"/>
    <w:rsid w:val="00986DD5"/>
    <w:rsid w:val="009A1CEE"/>
    <w:rsid w:val="00A07E18"/>
    <w:rsid w:val="00AB279A"/>
    <w:rsid w:val="00B9018D"/>
    <w:rsid w:val="00BA0A20"/>
    <w:rsid w:val="00BB09FA"/>
    <w:rsid w:val="00BB7C01"/>
    <w:rsid w:val="00C073B7"/>
    <w:rsid w:val="00C13903"/>
    <w:rsid w:val="00C66BBA"/>
    <w:rsid w:val="00C73969"/>
    <w:rsid w:val="00CB76A6"/>
    <w:rsid w:val="00D260EA"/>
    <w:rsid w:val="00E24E3D"/>
    <w:rsid w:val="00ED2435"/>
    <w:rsid w:val="00EE226F"/>
    <w:rsid w:val="00F41E7B"/>
    <w:rsid w:val="00F55B5C"/>
    <w:rsid w:val="00FA373C"/>
    <w:rsid w:val="00FC6A99"/>
    <w:rsid w:val="00FE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893C1"/>
  <w15:chartTrackingRefBased/>
  <w15:docId w15:val="{328F070B-D0CC-4775-997D-D3611A9E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link w:val="FootnoteBaseChar"/>
    <w:pPr>
      <w:keepLines/>
      <w:spacing w:line="200" w:lineRule="atLeast"/>
    </w:pPr>
    <w:rPr>
      <w:sz w:val="16"/>
    </w:rPr>
  </w:style>
  <w:style w:type="paragraph" w:styleId="CommentText">
    <w:name w:val="annotation text"/>
    <w:basedOn w:val="FootnoteBase"/>
    <w:link w:val="CommentTextChar"/>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A07E18"/>
    <w:rPr>
      <w:rFonts w:ascii="Segoe UI" w:hAnsi="Segoe UI" w:cs="Segoe UI"/>
      <w:sz w:val="18"/>
      <w:szCs w:val="18"/>
    </w:rPr>
  </w:style>
  <w:style w:type="character" w:customStyle="1" w:styleId="BalloonTextChar">
    <w:name w:val="Balloon Text Char"/>
    <w:link w:val="BalloonText"/>
    <w:rsid w:val="00A07E18"/>
    <w:rPr>
      <w:rFonts w:ascii="Segoe UI" w:hAnsi="Segoe UI" w:cs="Segoe UI"/>
      <w:spacing w:val="-5"/>
      <w:sz w:val="18"/>
      <w:szCs w:val="18"/>
    </w:rPr>
  </w:style>
  <w:style w:type="paragraph" w:styleId="CommentSubject">
    <w:name w:val="annotation subject"/>
    <w:basedOn w:val="CommentText"/>
    <w:next w:val="CommentText"/>
    <w:link w:val="CommentSubjectChar"/>
    <w:semiHidden/>
    <w:unhideWhenUsed/>
    <w:rsid w:val="00590841"/>
    <w:pPr>
      <w:keepLines w:val="0"/>
      <w:spacing w:line="240" w:lineRule="auto"/>
    </w:pPr>
    <w:rPr>
      <w:b/>
      <w:bCs/>
      <w:sz w:val="20"/>
    </w:rPr>
  </w:style>
  <w:style w:type="character" w:customStyle="1" w:styleId="FootnoteBaseChar">
    <w:name w:val="Footnote Base Char"/>
    <w:basedOn w:val="DefaultParagraphFont"/>
    <w:link w:val="FootnoteBase"/>
    <w:rsid w:val="00590841"/>
    <w:rPr>
      <w:rFonts w:ascii="Arial" w:hAnsi="Arial"/>
      <w:spacing w:val="-5"/>
      <w:sz w:val="16"/>
    </w:rPr>
  </w:style>
  <w:style w:type="character" w:customStyle="1" w:styleId="CommentTextChar">
    <w:name w:val="Comment Text Char"/>
    <w:basedOn w:val="FootnoteBaseChar"/>
    <w:link w:val="CommentText"/>
    <w:semiHidden/>
    <w:rsid w:val="00590841"/>
    <w:rPr>
      <w:rFonts w:ascii="Arial" w:hAnsi="Arial"/>
      <w:spacing w:val="-5"/>
      <w:sz w:val="16"/>
    </w:rPr>
  </w:style>
  <w:style w:type="character" w:customStyle="1" w:styleId="CommentSubjectChar">
    <w:name w:val="Comment Subject Char"/>
    <w:basedOn w:val="CommentTextChar"/>
    <w:link w:val="CommentSubject"/>
    <w:semiHidden/>
    <w:rsid w:val="00590841"/>
    <w:rPr>
      <w:rFonts w:ascii="Arial" w:hAnsi="Arial"/>
      <w:b/>
      <w:bCs/>
      <w:spacing w:val="-5"/>
      <w:sz w:val="16"/>
    </w:rPr>
  </w:style>
  <w:style w:type="paragraph" w:styleId="Revision">
    <w:name w:val="Revision"/>
    <w:hidden/>
    <w:uiPriority w:val="99"/>
    <w:semiHidden/>
    <w:rsid w:val="009854E9"/>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50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CALIFORNIA SPECIAL DISTRICTS ASSOCIATION</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SPECIAL DISTRICTS ASSOCIATION</dc:title>
  <dc:subject/>
  <dc:creator>Mike Glaze</dc:creator>
  <cp:keywords/>
  <dc:description/>
  <cp:lastModifiedBy>Michael Meyer</cp:lastModifiedBy>
  <cp:revision>4</cp:revision>
  <cp:lastPrinted>2017-01-04T18:40:00Z</cp:lastPrinted>
  <dcterms:created xsi:type="dcterms:W3CDTF">2023-04-04T17:53:00Z</dcterms:created>
  <dcterms:modified xsi:type="dcterms:W3CDTF">2023-04-04T17:56:00Z</dcterms:modified>
</cp:coreProperties>
</file>