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C5" w:rsidRPr="008C4908" w:rsidRDefault="00B435C5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b/>
          <w:bCs/>
          <w:spacing w:val="-4"/>
          <w:szCs w:val="24"/>
        </w:rPr>
      </w:pPr>
      <w:r w:rsidRPr="008C4908">
        <w:rPr>
          <w:b/>
          <w:bCs/>
          <w:spacing w:val="-4"/>
          <w:szCs w:val="24"/>
        </w:rPr>
        <w:t>POLICY TITLE:</w:t>
      </w:r>
      <w:r w:rsidRPr="008C4908">
        <w:rPr>
          <w:b/>
          <w:bCs/>
          <w:spacing w:val="-4"/>
          <w:szCs w:val="24"/>
        </w:rPr>
        <w:tab/>
      </w:r>
      <w:r w:rsidR="00F35CA8" w:rsidRPr="008C4908">
        <w:rPr>
          <w:b/>
          <w:bCs/>
          <w:spacing w:val="-4"/>
          <w:szCs w:val="24"/>
        </w:rPr>
        <w:tab/>
      </w:r>
      <w:r w:rsidRPr="008C4908">
        <w:rPr>
          <w:b/>
          <w:bCs/>
          <w:spacing w:val="-4"/>
          <w:szCs w:val="24"/>
        </w:rPr>
        <w:t>Review of Administrative Decisions</w:t>
      </w:r>
    </w:p>
    <w:p w:rsidR="00B435C5" w:rsidRPr="008C4908" w:rsidRDefault="00B435C5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b/>
          <w:bCs/>
          <w:spacing w:val="-4"/>
          <w:szCs w:val="24"/>
        </w:rPr>
      </w:pPr>
      <w:r w:rsidRPr="008C4908">
        <w:rPr>
          <w:b/>
          <w:bCs/>
          <w:spacing w:val="-4"/>
          <w:szCs w:val="24"/>
        </w:rPr>
        <w:t>POLICY NUMBER:</w:t>
      </w:r>
      <w:r w:rsidRPr="008C4908">
        <w:rPr>
          <w:b/>
          <w:bCs/>
          <w:spacing w:val="-4"/>
          <w:szCs w:val="24"/>
        </w:rPr>
        <w:tab/>
      </w:r>
      <w:r w:rsidR="00AC6DBB" w:rsidRPr="008C4908">
        <w:rPr>
          <w:b/>
          <w:bCs/>
          <w:spacing w:val="-4"/>
          <w:szCs w:val="24"/>
        </w:rPr>
        <w:t>4225</w:t>
      </w:r>
    </w:p>
    <w:p w:rsidR="00B435C5" w:rsidRPr="008C4908" w:rsidRDefault="00B435C5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bCs/>
          <w:spacing w:val="-4"/>
          <w:szCs w:val="24"/>
        </w:rPr>
      </w:pPr>
    </w:p>
    <w:p w:rsidR="00B435C5" w:rsidRPr="008C4908" w:rsidRDefault="00B435C5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spacing w:val="-4"/>
          <w:szCs w:val="24"/>
        </w:rPr>
      </w:pPr>
    </w:p>
    <w:p w:rsidR="00B435C5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080"/>
        </w:tabs>
        <w:rPr>
          <w:spacing w:val="-4"/>
          <w:szCs w:val="24"/>
        </w:rPr>
      </w:pPr>
      <w:r w:rsidRPr="008C4908">
        <w:rPr>
          <w:bCs/>
          <w:spacing w:val="-4"/>
          <w:szCs w:val="24"/>
        </w:rPr>
        <w:t>4225</w:t>
      </w:r>
      <w:r w:rsidR="00B435C5" w:rsidRPr="008C4908">
        <w:rPr>
          <w:bCs/>
          <w:spacing w:val="-4"/>
          <w:szCs w:val="24"/>
        </w:rPr>
        <w:t>.1</w:t>
      </w:r>
      <w:r w:rsidR="00B435C5" w:rsidRPr="008C4908">
        <w:rPr>
          <w:spacing w:val="-4"/>
          <w:szCs w:val="24"/>
        </w:rPr>
        <w:tab/>
      </w:r>
      <w:r w:rsidR="00AC2639" w:rsidRPr="008C4908">
        <w:rPr>
          <w:spacing w:val="-4"/>
          <w:szCs w:val="24"/>
        </w:rPr>
        <w:t>Code of Civil Procedure § 1094.6.</w:t>
      </w:r>
      <w:r w:rsidR="00651E78" w:rsidRPr="008C4908">
        <w:rPr>
          <w:spacing w:val="-4"/>
          <w:szCs w:val="24"/>
        </w:rPr>
        <w:t xml:space="preserve"> </w:t>
      </w:r>
      <w:r w:rsidR="00B435C5" w:rsidRPr="008C4908">
        <w:rPr>
          <w:spacing w:val="-4"/>
          <w:szCs w:val="24"/>
        </w:rPr>
        <w:t xml:space="preserve">The provisions of </w:t>
      </w:r>
      <w:r w:rsidR="003067E1" w:rsidRPr="008C4908">
        <w:rPr>
          <w:spacing w:val="-4"/>
          <w:szCs w:val="24"/>
        </w:rPr>
        <w:t>California Code of Civil Procedure §1094.6</w:t>
      </w:r>
      <w:r w:rsidR="00AC2639" w:rsidRPr="008C4908">
        <w:rPr>
          <w:spacing w:val="-4"/>
          <w:szCs w:val="24"/>
        </w:rPr>
        <w:t xml:space="preserve"> shall be applicable to </w:t>
      </w:r>
      <w:r w:rsidR="00B435C5" w:rsidRPr="008C4908">
        <w:rPr>
          <w:spacing w:val="-4"/>
          <w:szCs w:val="24"/>
        </w:rPr>
        <w:t>judicial review of all administrative decisions of the Board of Directors pursuant to the provisions of §1094.5 of said code.</w:t>
      </w:r>
      <w:r w:rsidR="00651E78" w:rsidRPr="008C4908">
        <w:rPr>
          <w:spacing w:val="-4"/>
          <w:szCs w:val="24"/>
        </w:rPr>
        <w:t xml:space="preserve"> </w:t>
      </w:r>
      <w:r w:rsidR="00B435C5" w:rsidRPr="008C4908">
        <w:rPr>
          <w:spacing w:val="-4"/>
          <w:szCs w:val="24"/>
        </w:rPr>
        <w:t>The provisions of §1094.6 shall prevail over any conflicting provision and any otherwise applicable law, rule, policy or regulation of the Dis</w:t>
      </w:r>
      <w:r w:rsidR="00B435C5" w:rsidRPr="008C4908">
        <w:rPr>
          <w:spacing w:val="-4"/>
          <w:szCs w:val="24"/>
        </w:rPr>
        <w:softHyphen/>
        <w:t>trict, affecting the subject matter of an appeal.</w:t>
      </w:r>
    </w:p>
    <w:p w:rsidR="00AC2639" w:rsidRPr="008C4908" w:rsidRDefault="00AC2639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spacing w:val="-4"/>
          <w:szCs w:val="24"/>
        </w:rPr>
      </w:pPr>
    </w:p>
    <w:p w:rsidR="00AC2639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980"/>
        </w:tabs>
        <w:ind w:left="720"/>
        <w:rPr>
          <w:spacing w:val="-4"/>
          <w:szCs w:val="24"/>
        </w:rPr>
      </w:pPr>
      <w:r w:rsidRPr="008C4908">
        <w:rPr>
          <w:spacing w:val="-4"/>
          <w:szCs w:val="24"/>
        </w:rPr>
        <w:t>4225</w:t>
      </w:r>
      <w:r w:rsidR="00AC2639" w:rsidRPr="008C4908">
        <w:rPr>
          <w:spacing w:val="-4"/>
          <w:szCs w:val="24"/>
        </w:rPr>
        <w:t>.1.1</w:t>
      </w:r>
      <w:r w:rsidR="00CB3F78">
        <w:rPr>
          <w:spacing w:val="-4"/>
          <w:szCs w:val="24"/>
        </w:rPr>
        <w:tab/>
      </w:r>
      <w:r w:rsidR="00651E78" w:rsidRPr="008C4908">
        <w:rPr>
          <w:spacing w:val="-4"/>
          <w:szCs w:val="24"/>
        </w:rPr>
        <w:t xml:space="preserve"> </w:t>
      </w:r>
      <w:r w:rsidR="00AC2639" w:rsidRPr="008C4908">
        <w:rPr>
          <w:spacing w:val="-4"/>
          <w:szCs w:val="24"/>
        </w:rPr>
        <w:t>In accordance with §1094.6, the time to seek judicial relief shall be 90 days following the date in which the Board</w:t>
      </w:r>
      <w:r w:rsidR="00A01B57">
        <w:rPr>
          <w:spacing w:val="-4"/>
          <w:szCs w:val="24"/>
        </w:rPr>
        <w:t>’</w:t>
      </w:r>
      <w:r w:rsidR="00AC2639" w:rsidRPr="008C4908">
        <w:rPr>
          <w:spacing w:val="-4"/>
          <w:szCs w:val="24"/>
        </w:rPr>
        <w:t>s decision becomes final.</w:t>
      </w:r>
      <w:r w:rsidR="00651E78" w:rsidRPr="008C4908">
        <w:rPr>
          <w:spacing w:val="-4"/>
          <w:szCs w:val="24"/>
        </w:rPr>
        <w:t xml:space="preserve"> </w:t>
      </w:r>
    </w:p>
    <w:p w:rsidR="00AC2639" w:rsidRPr="008C4908" w:rsidRDefault="00AC2639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ind w:left="720"/>
        <w:rPr>
          <w:spacing w:val="-4"/>
          <w:szCs w:val="24"/>
        </w:rPr>
      </w:pPr>
    </w:p>
    <w:p w:rsidR="00AC2639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980"/>
        </w:tabs>
        <w:ind w:left="720"/>
        <w:rPr>
          <w:spacing w:val="-4"/>
          <w:szCs w:val="24"/>
        </w:rPr>
      </w:pPr>
      <w:r w:rsidRPr="008C4908">
        <w:rPr>
          <w:spacing w:val="-4"/>
          <w:szCs w:val="24"/>
        </w:rPr>
        <w:t>4225</w:t>
      </w:r>
      <w:r w:rsidR="00AC2639" w:rsidRPr="008C4908">
        <w:rPr>
          <w:spacing w:val="-4"/>
          <w:szCs w:val="24"/>
        </w:rPr>
        <w:t>.1.2</w:t>
      </w:r>
      <w:r w:rsidR="00651E78" w:rsidRPr="008C4908">
        <w:rPr>
          <w:spacing w:val="-4"/>
          <w:szCs w:val="24"/>
        </w:rPr>
        <w:t xml:space="preserve"> </w:t>
      </w:r>
      <w:r w:rsidR="00CB3F78">
        <w:rPr>
          <w:spacing w:val="-4"/>
          <w:szCs w:val="24"/>
        </w:rPr>
        <w:tab/>
      </w:r>
      <w:r w:rsidR="00AC2639" w:rsidRPr="008C4908">
        <w:rPr>
          <w:spacing w:val="-4"/>
          <w:szCs w:val="24"/>
        </w:rPr>
        <w:t>No person aggrieved by a Board decision shall be allowed to seek judicial relief unless they shall have first raised that issue before the Board and provide</w:t>
      </w:r>
      <w:r w:rsidR="00DA6D11" w:rsidRPr="008C4908">
        <w:rPr>
          <w:spacing w:val="-4"/>
          <w:szCs w:val="24"/>
        </w:rPr>
        <w:t>d</w:t>
      </w:r>
      <w:r w:rsidR="00AC2639" w:rsidRPr="008C4908">
        <w:rPr>
          <w:spacing w:val="-4"/>
          <w:szCs w:val="24"/>
        </w:rPr>
        <w:t xml:space="preserve"> the Board with an opportunity to address the issue.</w:t>
      </w:r>
    </w:p>
    <w:p w:rsidR="00AC2639" w:rsidRPr="008C4908" w:rsidRDefault="00AC2639" w:rsidP="009D4E6A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ind w:left="720"/>
        <w:jc w:val="center"/>
        <w:rPr>
          <w:spacing w:val="-4"/>
          <w:szCs w:val="24"/>
        </w:rPr>
      </w:pPr>
    </w:p>
    <w:p w:rsidR="00AC2639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980"/>
        </w:tabs>
        <w:ind w:left="720"/>
        <w:rPr>
          <w:spacing w:val="-4"/>
          <w:szCs w:val="24"/>
        </w:rPr>
      </w:pPr>
      <w:r w:rsidRPr="008C4908">
        <w:rPr>
          <w:spacing w:val="-4"/>
          <w:szCs w:val="24"/>
        </w:rPr>
        <w:t>4225</w:t>
      </w:r>
      <w:r w:rsidR="00AC2639" w:rsidRPr="008C4908">
        <w:rPr>
          <w:spacing w:val="-4"/>
          <w:szCs w:val="24"/>
        </w:rPr>
        <w:t>.1.3</w:t>
      </w:r>
      <w:r w:rsidR="00651E78" w:rsidRPr="008C4908">
        <w:rPr>
          <w:spacing w:val="-4"/>
          <w:szCs w:val="24"/>
        </w:rPr>
        <w:t xml:space="preserve"> </w:t>
      </w:r>
      <w:r w:rsidR="00CB3F78">
        <w:rPr>
          <w:spacing w:val="-4"/>
          <w:szCs w:val="24"/>
        </w:rPr>
        <w:tab/>
      </w:r>
      <w:r w:rsidR="00AC2639" w:rsidRPr="008C4908">
        <w:rPr>
          <w:spacing w:val="-4"/>
          <w:szCs w:val="24"/>
        </w:rPr>
        <w:t>No person aggrieved by a Board decision shall be allowed to seek judicial relief unless they shall have first exhausted all available administrative remedies made available by the District.</w:t>
      </w:r>
    </w:p>
    <w:p w:rsidR="00AC2639" w:rsidRPr="008C4908" w:rsidRDefault="00AC2639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spacing w:val="-4"/>
          <w:szCs w:val="24"/>
        </w:rPr>
      </w:pPr>
    </w:p>
    <w:p w:rsidR="00DA6D11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080"/>
        </w:tabs>
        <w:rPr>
          <w:spacing w:val="-4"/>
          <w:szCs w:val="24"/>
        </w:rPr>
      </w:pPr>
      <w:r w:rsidRPr="008C4908">
        <w:rPr>
          <w:bCs/>
          <w:spacing w:val="-4"/>
          <w:szCs w:val="24"/>
        </w:rPr>
        <w:t>4225</w:t>
      </w:r>
      <w:r w:rsidR="00B435C5" w:rsidRPr="008C4908">
        <w:rPr>
          <w:bCs/>
          <w:spacing w:val="-4"/>
          <w:szCs w:val="24"/>
        </w:rPr>
        <w:t>.2</w:t>
      </w:r>
      <w:r w:rsidR="00B435C5" w:rsidRPr="008C4908">
        <w:rPr>
          <w:spacing w:val="-4"/>
          <w:szCs w:val="24"/>
        </w:rPr>
        <w:tab/>
      </w:r>
      <w:r w:rsidR="00DA6D11" w:rsidRPr="008C4908">
        <w:rPr>
          <w:spacing w:val="-4"/>
          <w:szCs w:val="24"/>
        </w:rPr>
        <w:t>Applicability.</w:t>
      </w:r>
      <w:r w:rsidR="00651E78" w:rsidRPr="008C4908">
        <w:rPr>
          <w:spacing w:val="-4"/>
          <w:szCs w:val="24"/>
        </w:rPr>
        <w:t xml:space="preserve"> </w:t>
      </w:r>
      <w:r w:rsidR="00B435C5" w:rsidRPr="008C4908">
        <w:rPr>
          <w:spacing w:val="-4"/>
          <w:szCs w:val="24"/>
        </w:rPr>
        <w:t xml:space="preserve">This policy affects those administrative decisions rendered by the Board of Directors </w:t>
      </w:r>
      <w:r w:rsidR="00DA6D11" w:rsidRPr="008C4908">
        <w:rPr>
          <w:spacing w:val="-4"/>
          <w:szCs w:val="24"/>
        </w:rPr>
        <w:t>following a proceeding at which notice and an opportunity to be heard has been provided.</w:t>
      </w:r>
      <w:r w:rsidR="00651E78" w:rsidRPr="008C4908">
        <w:rPr>
          <w:spacing w:val="-4"/>
          <w:szCs w:val="24"/>
        </w:rPr>
        <w:t xml:space="preserve"> </w:t>
      </w:r>
    </w:p>
    <w:p w:rsidR="00DA6D11" w:rsidRPr="008C4908" w:rsidRDefault="00DA6D11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spacing w:val="-4"/>
          <w:szCs w:val="24"/>
        </w:rPr>
      </w:pPr>
    </w:p>
    <w:p w:rsidR="00B435C5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080"/>
        </w:tabs>
        <w:rPr>
          <w:spacing w:val="-4"/>
          <w:szCs w:val="24"/>
        </w:rPr>
      </w:pPr>
      <w:r w:rsidRPr="008C4908">
        <w:rPr>
          <w:bCs/>
          <w:spacing w:val="-4"/>
          <w:szCs w:val="24"/>
        </w:rPr>
        <w:t>4225</w:t>
      </w:r>
      <w:r w:rsidR="00B435C5" w:rsidRPr="008C4908">
        <w:rPr>
          <w:bCs/>
          <w:spacing w:val="-4"/>
          <w:szCs w:val="24"/>
        </w:rPr>
        <w:t>.3</w:t>
      </w:r>
      <w:r w:rsidR="00B435C5" w:rsidRPr="008C4908">
        <w:rPr>
          <w:spacing w:val="-4"/>
          <w:szCs w:val="24"/>
        </w:rPr>
        <w:tab/>
      </w:r>
      <w:r w:rsidR="00DA6D11" w:rsidRPr="008C4908">
        <w:rPr>
          <w:spacing w:val="-4"/>
          <w:szCs w:val="24"/>
        </w:rPr>
        <w:t>Purpose.</w:t>
      </w:r>
      <w:r w:rsidR="00651E78" w:rsidRPr="008C4908">
        <w:rPr>
          <w:spacing w:val="-4"/>
          <w:szCs w:val="24"/>
        </w:rPr>
        <w:t xml:space="preserve"> </w:t>
      </w:r>
      <w:r w:rsidR="00B435C5" w:rsidRPr="008C4908">
        <w:rPr>
          <w:spacing w:val="-4"/>
          <w:szCs w:val="24"/>
        </w:rPr>
        <w:t>The purpose of this policy is to ensure efficient administration of the District, and the expeditious review of decisions rendered by the Board of Directors.</w:t>
      </w:r>
    </w:p>
    <w:p w:rsidR="003067E1" w:rsidRPr="008C4908" w:rsidRDefault="003067E1" w:rsidP="00F35CA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</w:tabs>
        <w:rPr>
          <w:spacing w:val="-4"/>
          <w:szCs w:val="24"/>
        </w:rPr>
      </w:pPr>
    </w:p>
    <w:p w:rsidR="003067E1" w:rsidRPr="008C4908" w:rsidRDefault="00AC6DBB" w:rsidP="00CB3F78">
      <w:pPr>
        <w:pStyle w:val="CSDAPolicy1"/>
        <w:tabs>
          <w:tab w:val="clear" w:pos="0"/>
          <w:tab w:val="clear" w:pos="810"/>
          <w:tab w:val="clear" w:pos="18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left" w:pos="1080"/>
        </w:tabs>
        <w:rPr>
          <w:spacing w:val="-4"/>
          <w:szCs w:val="24"/>
        </w:rPr>
      </w:pPr>
      <w:r w:rsidRPr="008C4908">
        <w:rPr>
          <w:spacing w:val="-4"/>
          <w:szCs w:val="24"/>
        </w:rPr>
        <w:t>4225</w:t>
      </w:r>
      <w:r w:rsidR="00AC2639" w:rsidRPr="008C4908">
        <w:rPr>
          <w:spacing w:val="-4"/>
          <w:szCs w:val="24"/>
        </w:rPr>
        <w:t>.4</w:t>
      </w:r>
      <w:r w:rsidR="00AC2639" w:rsidRPr="008C4908">
        <w:rPr>
          <w:spacing w:val="-4"/>
          <w:szCs w:val="24"/>
        </w:rPr>
        <w:tab/>
      </w:r>
      <w:bookmarkStart w:id="0" w:name="_GoBack"/>
      <w:bookmarkEnd w:id="0"/>
      <w:r w:rsidR="00DA6D11" w:rsidRPr="008C4908">
        <w:rPr>
          <w:spacing w:val="-4"/>
          <w:szCs w:val="24"/>
        </w:rPr>
        <w:t>Claims.</w:t>
      </w:r>
      <w:r w:rsidR="00651E78" w:rsidRPr="008C4908">
        <w:rPr>
          <w:spacing w:val="-4"/>
          <w:szCs w:val="24"/>
        </w:rPr>
        <w:t xml:space="preserve"> </w:t>
      </w:r>
      <w:r w:rsidR="003067E1" w:rsidRPr="008C4908">
        <w:rPr>
          <w:spacing w:val="-4"/>
          <w:szCs w:val="24"/>
        </w:rPr>
        <w:t>Nothing in this policy shall be deemed to waive the claims filing requirements of the District</w:t>
      </w:r>
      <w:r w:rsidR="00DA6D11" w:rsidRPr="008C4908">
        <w:rPr>
          <w:spacing w:val="-4"/>
          <w:szCs w:val="24"/>
        </w:rPr>
        <w:t xml:space="preserve"> when damages are being sought</w:t>
      </w:r>
      <w:r w:rsidR="003067E1" w:rsidRPr="008C4908">
        <w:rPr>
          <w:spacing w:val="-4"/>
          <w:szCs w:val="24"/>
        </w:rPr>
        <w:t>.</w:t>
      </w:r>
    </w:p>
    <w:sectPr w:rsidR="003067E1" w:rsidRPr="008C4908" w:rsidSect="00CA703F">
      <w:footerReference w:type="default" r:id="rId7"/>
      <w:headerReference w:type="first" r:id="rId8"/>
      <w:footerReference w:type="first" r:id="rId9"/>
      <w:endnotePr>
        <w:numFmt w:val="decimal"/>
      </w:endnotePr>
      <w:pgSz w:w="12240" w:h="15840" w:code="1"/>
      <w:pgMar w:top="1440" w:right="1152" w:bottom="1440" w:left="1800" w:header="1152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039" w:rsidRDefault="001E5039">
      <w:r>
        <w:separator/>
      </w:r>
    </w:p>
  </w:endnote>
  <w:endnote w:type="continuationSeparator" w:id="0">
    <w:p w:rsidR="001E5039" w:rsidRDefault="001E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C5" w:rsidRDefault="00B435C5">
    <w:pPr>
      <w:tabs>
        <w:tab w:val="center" w:pos="4680"/>
        <w:tab w:val="right" w:pos="9360"/>
      </w:tabs>
      <w:jc w:val="both"/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24"/>
        <w:szCs w:val="16"/>
      </w:rPr>
      <w:t xml:space="preserve">5050 – </w:t>
    </w:r>
    <w:r>
      <w:rPr>
        <w:rStyle w:val="PageNumber"/>
        <w:rFonts w:ascii="Arial Narrow" w:hAnsi="Arial Narrow"/>
        <w:caps/>
        <w:sz w:val="24"/>
      </w:rPr>
      <w:fldChar w:fldCharType="begin"/>
    </w:r>
    <w:r>
      <w:rPr>
        <w:rStyle w:val="PageNumber"/>
        <w:rFonts w:ascii="Arial Narrow" w:hAnsi="Arial Narrow"/>
        <w:caps/>
        <w:sz w:val="24"/>
      </w:rPr>
      <w:instrText xml:space="preserve"> PAGE </w:instrText>
    </w:r>
    <w:r>
      <w:rPr>
        <w:rStyle w:val="PageNumber"/>
        <w:rFonts w:ascii="Arial Narrow" w:hAnsi="Arial Narrow"/>
        <w:caps/>
        <w:sz w:val="24"/>
      </w:rPr>
      <w:fldChar w:fldCharType="separate"/>
    </w:r>
    <w:r w:rsidR="00CA703F">
      <w:rPr>
        <w:rStyle w:val="PageNumber"/>
        <w:rFonts w:ascii="Arial Narrow" w:hAnsi="Arial Narrow"/>
        <w:caps/>
        <w:noProof/>
        <w:sz w:val="24"/>
      </w:rPr>
      <w:t>1</w:t>
    </w:r>
    <w:r>
      <w:rPr>
        <w:rStyle w:val="PageNumber"/>
        <w:rFonts w:ascii="Arial Narrow" w:hAnsi="Arial Narrow"/>
        <w:caps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CA8" w:rsidRPr="00F35CA8" w:rsidRDefault="00A01B57" w:rsidP="00F35CA8">
    <w:pPr>
      <w:pStyle w:val="Footer"/>
      <w:jc w:val="right"/>
    </w:pPr>
    <w:r w:rsidRPr="00A01B57">
      <w:rPr>
        <w:noProof/>
      </w:rPr>
      <w:drawing>
        <wp:anchor distT="0" distB="0" distL="114300" distR="114300" simplePos="0" relativeHeight="251660288" behindDoc="0" locked="0" layoutInCell="1" allowOverlap="1">
          <wp:simplePos x="1828800" y="8458200"/>
          <wp:positionH relativeFrom="page">
            <wp:align>left</wp:align>
          </wp:positionH>
          <wp:positionV relativeFrom="page">
            <wp:align>bottom</wp:align>
          </wp:positionV>
          <wp:extent cx="7772416" cy="1143002"/>
          <wp:effectExtent l="0" t="0" r="0" b="0"/>
          <wp:wrapSquare wrapText="bothSides"/>
          <wp:docPr id="3" name="Picture 3" descr="H:\Department Folders\Member Services\Shared Membership Folder\Sample Policy Handbook\6th Edition, 2016\Production\covers, footers, headers etc\SPH footer Lozano Smith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Lozano Smith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16" cy="1143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039" w:rsidRDefault="001E5039">
      <w:r>
        <w:separator/>
      </w:r>
    </w:p>
  </w:footnote>
  <w:footnote w:type="continuationSeparator" w:id="0">
    <w:p w:rsidR="001E5039" w:rsidRDefault="001E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BB" w:rsidRPr="00AC6DBB" w:rsidRDefault="00AC6DBB" w:rsidP="00AC6DB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1828800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2" name="Picture 2" descr="C:\Users\cassandras\AppData\Local\Microsoft\Windows\INetCache\Content.Word\SPH header Board Meeting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ssandras\AppData\Local\Microsoft\Windows\INetCache\Content.Word\SPH header Board Meeting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6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8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0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1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2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8"/>
  </w:num>
  <w:num w:numId="13">
    <w:abstractNumId w:val="19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7"/>
  </w:num>
  <w:num w:numId="16">
    <w:abstractNumId w:val="20"/>
  </w:num>
  <w:num w:numId="17">
    <w:abstractNumId w:val="11"/>
  </w:num>
  <w:num w:numId="18">
    <w:abstractNumId w:val="19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1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6"/>
  </w:num>
  <w:num w:numId="22">
    <w:abstractNumId w:val="14"/>
  </w:num>
  <w:num w:numId="23">
    <w:abstractNumId w:val="1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45"/>
    <w:rsid w:val="001E5039"/>
    <w:rsid w:val="003067E1"/>
    <w:rsid w:val="003A10DB"/>
    <w:rsid w:val="003B28C8"/>
    <w:rsid w:val="003E3506"/>
    <w:rsid w:val="004013D6"/>
    <w:rsid w:val="00401FCD"/>
    <w:rsid w:val="00651E78"/>
    <w:rsid w:val="007B3B99"/>
    <w:rsid w:val="008C4908"/>
    <w:rsid w:val="009D4E6A"/>
    <w:rsid w:val="009E4A72"/>
    <w:rsid w:val="00A01B57"/>
    <w:rsid w:val="00AC2639"/>
    <w:rsid w:val="00AC6745"/>
    <w:rsid w:val="00AC6DBB"/>
    <w:rsid w:val="00B435C5"/>
    <w:rsid w:val="00B917AF"/>
    <w:rsid w:val="00BB5057"/>
    <w:rsid w:val="00CA703F"/>
    <w:rsid w:val="00CB3F78"/>
    <w:rsid w:val="00DA6D11"/>
    <w:rsid w:val="00EB5C8A"/>
    <w:rsid w:val="00F3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F8F5F0-8704-406C-A264-27B2F8E9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  <w:semiHidden/>
  </w:style>
  <w:style w:type="paragraph" w:styleId="Footer">
    <w:name w:val="footer"/>
    <w:basedOn w:val="HeaderBase"/>
    <w:semiHidden/>
  </w:style>
  <w:style w:type="character" w:styleId="PageNumber">
    <w:name w:val="page number"/>
    <w:semiHidden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semiHidden/>
    <w:pPr>
      <w:spacing w:after="240" w:line="240" w:lineRule="atLeast"/>
      <w:jc w:val="both"/>
    </w:pPr>
  </w:style>
  <w:style w:type="paragraph" w:styleId="BodyTextIndent">
    <w:name w:val="Body Text Indent"/>
    <w:basedOn w:val="BodyText"/>
    <w:semiHidden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semiHidden/>
    <w:rPr>
      <w:sz w:val="18"/>
    </w:rPr>
  </w:style>
  <w:style w:type="paragraph" w:styleId="List">
    <w:name w:val="List"/>
    <w:basedOn w:val="BodyText"/>
    <w:semiHidden/>
    <w:pPr>
      <w:ind w:left="1440" w:hanging="360"/>
    </w:pPr>
  </w:style>
  <w:style w:type="paragraph" w:styleId="List2">
    <w:name w:val="List 2"/>
    <w:basedOn w:val="List"/>
    <w:semiHidden/>
    <w:pPr>
      <w:ind w:left="1800"/>
    </w:pPr>
  </w:style>
  <w:style w:type="paragraph" w:styleId="List3">
    <w:name w:val="List 3"/>
    <w:basedOn w:val="List"/>
    <w:semiHidden/>
    <w:pPr>
      <w:ind w:left="2160"/>
    </w:pPr>
  </w:style>
  <w:style w:type="paragraph" w:styleId="List4">
    <w:name w:val="List 4"/>
    <w:basedOn w:val="List"/>
    <w:semiHidden/>
    <w:pPr>
      <w:ind w:left="2520"/>
    </w:pPr>
  </w:style>
  <w:style w:type="paragraph" w:styleId="List5">
    <w:name w:val="List 5"/>
    <w:basedOn w:val="List"/>
    <w:semiHidden/>
    <w:pPr>
      <w:ind w:left="2880"/>
    </w:pPr>
  </w:style>
  <w:style w:type="paragraph" w:styleId="ListBullet">
    <w:name w:val="List Bullet"/>
    <w:basedOn w:val="List"/>
    <w:semiHidden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semiHidden/>
    <w:pPr>
      <w:ind w:left="1800"/>
    </w:pPr>
  </w:style>
  <w:style w:type="paragraph" w:styleId="ListBullet3">
    <w:name w:val="List Bullet 3"/>
    <w:basedOn w:val="ListBullet"/>
    <w:autoRedefine/>
    <w:semiHidden/>
    <w:pPr>
      <w:ind w:left="2160"/>
    </w:pPr>
  </w:style>
  <w:style w:type="paragraph" w:styleId="ListBullet4">
    <w:name w:val="List Bullet 4"/>
    <w:basedOn w:val="ListBullet"/>
    <w:autoRedefine/>
    <w:semiHidden/>
    <w:pPr>
      <w:ind w:left="2520"/>
    </w:pPr>
  </w:style>
  <w:style w:type="paragraph" w:styleId="ListBullet5">
    <w:name w:val="List Bullet 5"/>
    <w:basedOn w:val="ListBullet"/>
    <w:autoRedefine/>
    <w:semiHidden/>
    <w:pPr>
      <w:ind w:left="2880"/>
    </w:pPr>
  </w:style>
  <w:style w:type="paragraph" w:styleId="ListContinue">
    <w:name w:val="List Continue"/>
    <w:basedOn w:val="List"/>
    <w:semiHidden/>
    <w:pPr>
      <w:ind w:firstLine="0"/>
    </w:pPr>
  </w:style>
  <w:style w:type="paragraph" w:styleId="ListContinue2">
    <w:name w:val="List Continue 2"/>
    <w:basedOn w:val="ListContinue"/>
    <w:semiHidden/>
    <w:pPr>
      <w:ind w:left="2160"/>
    </w:pPr>
  </w:style>
  <w:style w:type="paragraph" w:styleId="ListContinue3">
    <w:name w:val="List Continue 3"/>
    <w:basedOn w:val="ListContinue"/>
    <w:semiHidden/>
    <w:pPr>
      <w:ind w:left="2520"/>
    </w:pPr>
  </w:style>
  <w:style w:type="paragraph" w:styleId="ListContinue4">
    <w:name w:val="List Continue 4"/>
    <w:basedOn w:val="ListContinue"/>
    <w:semiHidden/>
    <w:pPr>
      <w:ind w:left="2880"/>
    </w:pPr>
  </w:style>
  <w:style w:type="paragraph" w:styleId="ListContinue5">
    <w:name w:val="List Continue 5"/>
    <w:basedOn w:val="ListContinue"/>
    <w:semiHidden/>
    <w:pPr>
      <w:ind w:left="3240"/>
    </w:pPr>
  </w:style>
  <w:style w:type="paragraph" w:styleId="ListNumber">
    <w:name w:val="List Number"/>
    <w:basedOn w:val="List"/>
    <w:semiHidden/>
    <w:pPr>
      <w:numPr>
        <w:numId w:val="13"/>
      </w:numPr>
    </w:pPr>
  </w:style>
  <w:style w:type="paragraph" w:styleId="ListNumber2">
    <w:name w:val="List Number 2"/>
    <w:basedOn w:val="ListNumber"/>
    <w:semiHidden/>
    <w:pPr>
      <w:ind w:left="1800"/>
    </w:pPr>
  </w:style>
  <w:style w:type="paragraph" w:styleId="ListNumber3">
    <w:name w:val="List Number 3"/>
    <w:basedOn w:val="ListNumber"/>
    <w:semiHidden/>
    <w:pPr>
      <w:ind w:left="2160"/>
    </w:pPr>
  </w:style>
  <w:style w:type="paragraph" w:styleId="ListNumber4">
    <w:name w:val="List Number 4"/>
    <w:basedOn w:val="ListNumber"/>
    <w:semiHidden/>
    <w:pPr>
      <w:ind w:left="2520"/>
    </w:pPr>
  </w:style>
  <w:style w:type="paragraph" w:styleId="ListNumber5">
    <w:name w:val="List Number 5"/>
    <w:basedOn w:val="ListNumber"/>
    <w:semiHidden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semiHidden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semiHidden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PresentationFormat>11|.DOC</PresentationFormat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Special District Association Policy Update-5080 Review of Decisions  (00475347.DOC;1)</vt:lpstr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Special District Association Policy Update-5080 Review of Decisions  (00475347.DOC;1)</dc:title>
  <dc:subject/>
  <dc:creator>Mike Glaze</dc:creator>
  <cp:keywords/>
  <dc:description/>
  <cp:lastModifiedBy>Cassandra Strawn</cp:lastModifiedBy>
  <cp:revision>7</cp:revision>
  <dcterms:created xsi:type="dcterms:W3CDTF">2017-04-19T21:26:00Z</dcterms:created>
  <dcterms:modified xsi:type="dcterms:W3CDTF">2017-05-15T21:45:00Z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Date">
    <vt:lpwstr>11/28/2016 10:00:04 AM</vt:lpwstr>
  </property>
</Properties>
</file>