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2DDF9" w14:textId="77777777" w:rsidR="00C13903" w:rsidRPr="00766026" w:rsidRDefault="00C13903">
      <w:pPr>
        <w:pStyle w:val="CSDAPolicy1"/>
        <w:rPr>
          <w:b/>
          <w:bCs/>
          <w:spacing w:val="-4"/>
        </w:rPr>
      </w:pPr>
      <w:r w:rsidRPr="00766026">
        <w:rPr>
          <w:b/>
          <w:bCs/>
          <w:spacing w:val="-4"/>
        </w:rPr>
        <w:t>POLICY TITLE:</w:t>
      </w:r>
      <w:r w:rsidRPr="00766026">
        <w:rPr>
          <w:b/>
          <w:bCs/>
          <w:spacing w:val="-4"/>
        </w:rPr>
        <w:tab/>
        <w:t>Committees of the Board of Directors</w:t>
      </w:r>
    </w:p>
    <w:p w14:paraId="60FA6F06" w14:textId="77777777" w:rsidR="00C13903" w:rsidRPr="00766026" w:rsidRDefault="00C13903">
      <w:pPr>
        <w:pStyle w:val="CSDAPolicy1"/>
        <w:rPr>
          <w:b/>
          <w:bCs/>
          <w:spacing w:val="-4"/>
        </w:rPr>
      </w:pPr>
      <w:r w:rsidRPr="00766026">
        <w:rPr>
          <w:b/>
          <w:bCs/>
          <w:spacing w:val="-4"/>
        </w:rPr>
        <w:t>POLICY NUMBER:</w:t>
      </w:r>
      <w:r w:rsidRPr="00766026">
        <w:rPr>
          <w:b/>
          <w:bCs/>
          <w:spacing w:val="-4"/>
        </w:rPr>
        <w:tab/>
      </w:r>
      <w:r w:rsidR="00331919" w:rsidRPr="00766026">
        <w:rPr>
          <w:b/>
          <w:bCs/>
          <w:spacing w:val="-4"/>
        </w:rPr>
        <w:t>4105</w:t>
      </w:r>
    </w:p>
    <w:p w14:paraId="028223A8" w14:textId="77777777" w:rsidR="00C13903" w:rsidRPr="007C1C29" w:rsidRDefault="00C13903">
      <w:pPr>
        <w:pStyle w:val="CSDAPolicy1"/>
        <w:rPr>
          <w:bCs/>
          <w:spacing w:val="-4"/>
        </w:rPr>
      </w:pPr>
    </w:p>
    <w:p w14:paraId="559E9BC7" w14:textId="77777777" w:rsidR="00C13903" w:rsidRPr="007C1C29" w:rsidRDefault="00C13903">
      <w:pPr>
        <w:pStyle w:val="CSDAPolicy1"/>
        <w:rPr>
          <w:spacing w:val="-4"/>
        </w:rPr>
      </w:pPr>
    </w:p>
    <w:p w14:paraId="40CB0088" w14:textId="77777777" w:rsidR="006679F4" w:rsidRPr="007C1C29" w:rsidRDefault="00331919">
      <w:pPr>
        <w:pStyle w:val="CSDAPolicy1"/>
        <w:rPr>
          <w:spacing w:val="-4"/>
        </w:rPr>
      </w:pPr>
      <w:r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.1</w:t>
      </w:r>
      <w:r w:rsidR="00C13903" w:rsidRPr="007C1C29">
        <w:rPr>
          <w:spacing w:val="-4"/>
        </w:rPr>
        <w:tab/>
      </w:r>
      <w:r w:rsidR="007C1C29" w:rsidRPr="007C1C29">
        <w:rPr>
          <w:spacing w:val="-4"/>
        </w:rPr>
        <w:t>Temporary Advisory Committees:</w:t>
      </w:r>
    </w:p>
    <w:p w14:paraId="46E026B7" w14:textId="77777777" w:rsidR="00C13903" w:rsidRPr="007C1C29" w:rsidRDefault="00C13903" w:rsidP="004653AF">
      <w:pPr>
        <w:pStyle w:val="CSDAPolicy1"/>
        <w:rPr>
          <w:spacing w:val="-4"/>
        </w:rPr>
      </w:pPr>
      <w:r w:rsidRPr="007C1C29">
        <w:rPr>
          <w:spacing w:val="-4"/>
        </w:rPr>
        <w:t xml:space="preserve">The Board President shall appoint </w:t>
      </w:r>
      <w:r w:rsidR="008E3ECB" w:rsidRPr="007C1C29">
        <w:rPr>
          <w:spacing w:val="-4"/>
        </w:rPr>
        <w:t xml:space="preserve">any </w:t>
      </w:r>
      <w:r w:rsidRPr="007C1C29">
        <w:rPr>
          <w:spacing w:val="-4"/>
        </w:rPr>
        <w:t xml:space="preserve">such </w:t>
      </w:r>
      <w:r w:rsidR="009A1CEE" w:rsidRPr="007C1C29">
        <w:rPr>
          <w:spacing w:val="-4"/>
        </w:rPr>
        <w:t xml:space="preserve">temporary </w:t>
      </w:r>
      <w:r w:rsidRPr="007C1C29">
        <w:rPr>
          <w:spacing w:val="-4"/>
        </w:rPr>
        <w:t>ad</w:t>
      </w:r>
      <w:r w:rsidR="006679F4" w:rsidRPr="007C1C29">
        <w:rPr>
          <w:spacing w:val="-4"/>
        </w:rPr>
        <w:t>visory</w:t>
      </w:r>
      <w:r w:rsidRPr="007C1C29">
        <w:rPr>
          <w:spacing w:val="-4"/>
        </w:rPr>
        <w:t xml:space="preserve"> commit</w:t>
      </w:r>
      <w:r w:rsidRPr="007C1C29">
        <w:rPr>
          <w:spacing w:val="-4"/>
        </w:rPr>
        <w:softHyphen/>
        <w:t xml:space="preserve">tees as may be deemed necessary or advisable by </w:t>
      </w:r>
      <w:r w:rsidR="008E3ECB" w:rsidRPr="007C1C29">
        <w:rPr>
          <w:spacing w:val="-4"/>
        </w:rPr>
        <w:t xml:space="preserve">the President </w:t>
      </w:r>
      <w:r w:rsidRPr="007C1C29">
        <w:rPr>
          <w:spacing w:val="-4"/>
        </w:rPr>
        <w:t>or the Board.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 xml:space="preserve">The </w:t>
      </w:r>
      <w:r w:rsidR="00217600" w:rsidRPr="007C1C29">
        <w:rPr>
          <w:spacing w:val="-4"/>
        </w:rPr>
        <w:t>purpose</w:t>
      </w:r>
      <w:r w:rsidRPr="007C1C29">
        <w:rPr>
          <w:spacing w:val="-4"/>
        </w:rPr>
        <w:t xml:space="preserve"> of </w:t>
      </w:r>
      <w:r w:rsidR="006679F4" w:rsidRPr="007C1C29">
        <w:rPr>
          <w:spacing w:val="-4"/>
        </w:rPr>
        <w:t xml:space="preserve">a temporary </w:t>
      </w:r>
      <w:r w:rsidRPr="007C1C29">
        <w:rPr>
          <w:spacing w:val="-4"/>
        </w:rPr>
        <w:t>ad</w:t>
      </w:r>
      <w:r w:rsidR="006679F4" w:rsidRPr="007C1C29">
        <w:rPr>
          <w:spacing w:val="-4"/>
        </w:rPr>
        <w:t>visory</w:t>
      </w:r>
      <w:r w:rsidRPr="007C1C29">
        <w:rPr>
          <w:spacing w:val="-4"/>
        </w:rPr>
        <w:t xml:space="preserve"> committee </w:t>
      </w:r>
      <w:r w:rsidR="00217600" w:rsidRPr="007C1C29">
        <w:rPr>
          <w:spacing w:val="-4"/>
        </w:rPr>
        <w:t xml:space="preserve">and the time allowed to accomplish that purpose </w:t>
      </w:r>
      <w:r w:rsidRPr="007C1C29">
        <w:rPr>
          <w:spacing w:val="-4"/>
        </w:rPr>
        <w:t>shall be outlined at the time of appointment</w:t>
      </w:r>
      <w:r w:rsidR="00217600" w:rsidRPr="007C1C29">
        <w:rPr>
          <w:spacing w:val="-4"/>
        </w:rPr>
        <w:t>.</w:t>
      </w:r>
      <w:r w:rsidR="00792519" w:rsidRPr="007C1C29">
        <w:rPr>
          <w:spacing w:val="-4"/>
        </w:rPr>
        <w:t xml:space="preserve"> </w:t>
      </w:r>
      <w:r w:rsidR="00217600" w:rsidRPr="007C1C29">
        <w:rPr>
          <w:spacing w:val="-4"/>
        </w:rPr>
        <w:t>A</w:t>
      </w:r>
      <w:r w:rsidR="006679F4" w:rsidRPr="007C1C29">
        <w:rPr>
          <w:spacing w:val="-4"/>
        </w:rPr>
        <w:t xml:space="preserve"> </w:t>
      </w:r>
      <w:r w:rsidR="00217600" w:rsidRPr="007C1C29">
        <w:rPr>
          <w:spacing w:val="-4"/>
        </w:rPr>
        <w:t xml:space="preserve">temporary advisory </w:t>
      </w:r>
      <w:r w:rsidRPr="007C1C29">
        <w:rPr>
          <w:spacing w:val="-4"/>
        </w:rPr>
        <w:t xml:space="preserve">committee shall be considered dissolved </w:t>
      </w:r>
      <w:r w:rsidR="009206E4" w:rsidRPr="007C1C29">
        <w:rPr>
          <w:spacing w:val="-4"/>
        </w:rPr>
        <w:t>when its purpose has been accomplished or when the timeframe for its existence has expired, whichever occurs first</w:t>
      </w:r>
      <w:r w:rsidRPr="007C1C29">
        <w:rPr>
          <w:spacing w:val="-4"/>
        </w:rPr>
        <w:t>.</w:t>
      </w:r>
    </w:p>
    <w:p w14:paraId="203A14FF" w14:textId="77777777" w:rsidR="00C073B7" w:rsidRPr="007C1C29" w:rsidRDefault="00C073B7">
      <w:pPr>
        <w:pStyle w:val="CSDAPolicy1"/>
        <w:rPr>
          <w:spacing w:val="-4"/>
        </w:rPr>
      </w:pPr>
    </w:p>
    <w:p w14:paraId="6F443E4B" w14:textId="77777777" w:rsidR="00C073B7" w:rsidRPr="007C1C29" w:rsidRDefault="00C073B7" w:rsidP="00797079">
      <w:pPr>
        <w:pStyle w:val="CSDAPolicy1"/>
        <w:ind w:left="720" w:hanging="720"/>
        <w:rPr>
          <w:spacing w:val="-4"/>
        </w:rPr>
      </w:pPr>
      <w:r w:rsidRPr="007C1C29">
        <w:rPr>
          <w:spacing w:val="-4"/>
        </w:rPr>
        <w:tab/>
      </w:r>
      <w:r w:rsidR="00331919" w:rsidRPr="007C1C29">
        <w:rPr>
          <w:spacing w:val="-4"/>
        </w:rPr>
        <w:t>4105</w:t>
      </w:r>
      <w:r w:rsidRPr="007C1C29">
        <w:rPr>
          <w:spacing w:val="-4"/>
        </w:rPr>
        <w:t>.1.1</w:t>
      </w:r>
      <w:r w:rsidRPr="007C1C29">
        <w:rPr>
          <w:spacing w:val="-4"/>
        </w:rPr>
        <w:tab/>
      </w:r>
      <w:r w:rsidR="006679F4" w:rsidRPr="007C1C29">
        <w:rPr>
          <w:spacing w:val="-4"/>
        </w:rPr>
        <w:t xml:space="preserve">A temporary advisory committee </w:t>
      </w:r>
      <w:r w:rsidR="00797079" w:rsidRPr="007C1C29">
        <w:rPr>
          <w:spacing w:val="-4"/>
        </w:rPr>
        <w:t>shall</w:t>
      </w:r>
      <w:r w:rsidR="006679F4" w:rsidRPr="007C1C29">
        <w:rPr>
          <w:spacing w:val="-4"/>
        </w:rPr>
        <w:t xml:space="preserve"> be comprised solely of members of the Board, and </w:t>
      </w:r>
      <w:r w:rsidR="00FC6A99" w:rsidRPr="007C1C29">
        <w:rPr>
          <w:spacing w:val="-4"/>
        </w:rPr>
        <w:t>shall</w:t>
      </w:r>
      <w:r w:rsidR="006679F4" w:rsidRPr="007C1C29">
        <w:rPr>
          <w:spacing w:val="-4"/>
        </w:rPr>
        <w:t xml:space="preserve"> consist of less than a majority of Board Members.</w:t>
      </w:r>
    </w:p>
    <w:p w14:paraId="2816C446" w14:textId="77777777" w:rsidR="006679F4" w:rsidRPr="007C1C29" w:rsidRDefault="006679F4">
      <w:pPr>
        <w:pStyle w:val="CSDAPolicy1"/>
        <w:rPr>
          <w:spacing w:val="-4"/>
        </w:rPr>
      </w:pPr>
    </w:p>
    <w:p w14:paraId="0C74832E" w14:textId="77777777" w:rsidR="006679F4" w:rsidRPr="007C1C29" w:rsidRDefault="006679F4" w:rsidP="00797079">
      <w:pPr>
        <w:pStyle w:val="CSDAPolicy1"/>
        <w:ind w:left="720" w:hanging="720"/>
        <w:rPr>
          <w:spacing w:val="-4"/>
        </w:rPr>
      </w:pPr>
      <w:r w:rsidRPr="007C1C29">
        <w:rPr>
          <w:spacing w:val="-4"/>
        </w:rPr>
        <w:tab/>
      </w:r>
      <w:r w:rsidR="00331919" w:rsidRPr="007C1C29">
        <w:rPr>
          <w:spacing w:val="-4"/>
        </w:rPr>
        <w:t>4105</w:t>
      </w:r>
      <w:r w:rsidRPr="007C1C29">
        <w:rPr>
          <w:spacing w:val="-4"/>
        </w:rPr>
        <w:t>.1.2</w:t>
      </w:r>
      <w:r w:rsidRPr="007C1C29">
        <w:rPr>
          <w:spacing w:val="-4"/>
        </w:rPr>
        <w:tab/>
        <w:t>A temporary advisory committee may make recommendations to the Board.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>The Board may not delegate any decision-making power to a temporary advisory committee.</w:t>
      </w:r>
    </w:p>
    <w:p w14:paraId="6CD935B4" w14:textId="77777777" w:rsidR="00797079" w:rsidRPr="007C1C29" w:rsidRDefault="00797079" w:rsidP="00797079">
      <w:pPr>
        <w:pStyle w:val="CSDAPolicy1"/>
        <w:ind w:left="720" w:hanging="720"/>
        <w:rPr>
          <w:spacing w:val="-4"/>
        </w:rPr>
      </w:pPr>
    </w:p>
    <w:p w14:paraId="63EE2ADB" w14:textId="77777777" w:rsidR="00797079" w:rsidRPr="007C1C29" w:rsidRDefault="00797079" w:rsidP="00797079">
      <w:pPr>
        <w:pStyle w:val="CSDAPolicy1"/>
        <w:ind w:left="720" w:hanging="720"/>
        <w:rPr>
          <w:spacing w:val="-4"/>
        </w:rPr>
      </w:pPr>
      <w:r w:rsidRPr="007C1C29">
        <w:rPr>
          <w:spacing w:val="-4"/>
        </w:rPr>
        <w:tab/>
      </w:r>
      <w:r w:rsidR="00331919" w:rsidRPr="007C1C29">
        <w:rPr>
          <w:spacing w:val="-4"/>
        </w:rPr>
        <w:t>4105</w:t>
      </w:r>
      <w:r w:rsidRPr="007C1C29">
        <w:rPr>
          <w:spacing w:val="-4"/>
        </w:rPr>
        <w:t>.1.3</w:t>
      </w:r>
      <w:r w:rsidRPr="007C1C29">
        <w:rPr>
          <w:spacing w:val="-4"/>
        </w:rPr>
        <w:tab/>
        <w:t>A temporary advisory committee shall meet on an as needed basis and shall not have a meeting schedule fixed by charter, ordinance, resolution, or formal action of the Board.</w:t>
      </w:r>
    </w:p>
    <w:p w14:paraId="42EF0620" w14:textId="77777777" w:rsidR="00C13903" w:rsidRPr="007C1C29" w:rsidRDefault="00C13903">
      <w:pPr>
        <w:pStyle w:val="CSDAPolicy1"/>
        <w:rPr>
          <w:spacing w:val="-4"/>
        </w:rPr>
      </w:pPr>
    </w:p>
    <w:p w14:paraId="66CAC90C" w14:textId="77777777" w:rsidR="00A07E18" w:rsidRPr="007C1C29" w:rsidRDefault="00331919">
      <w:pPr>
        <w:pStyle w:val="CSDAPolicy1"/>
        <w:rPr>
          <w:spacing w:val="-4"/>
        </w:rPr>
      </w:pPr>
      <w:r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.2</w:t>
      </w:r>
      <w:r w:rsidR="00C13903" w:rsidRPr="007C1C29">
        <w:rPr>
          <w:spacing w:val="-4"/>
        </w:rPr>
        <w:tab/>
      </w:r>
      <w:r w:rsidR="007C1C29" w:rsidRPr="007C1C29">
        <w:rPr>
          <w:spacing w:val="-4"/>
        </w:rPr>
        <w:t>Standing Committees:</w:t>
      </w:r>
    </w:p>
    <w:p w14:paraId="0C8FBFE2" w14:textId="77777777" w:rsidR="00C13903" w:rsidRPr="007C1C29" w:rsidRDefault="00C13903" w:rsidP="00A73365">
      <w:pPr>
        <w:pStyle w:val="CSDAPolicy1"/>
        <w:rPr>
          <w:spacing w:val="-4"/>
        </w:rPr>
      </w:pPr>
      <w:r w:rsidRPr="007C1C29">
        <w:rPr>
          <w:spacing w:val="-4"/>
        </w:rPr>
        <w:t>The following shall be standing committees of the Board:</w:t>
      </w:r>
      <w:r w:rsidR="00A07E18" w:rsidRPr="007C1C29">
        <w:rPr>
          <w:spacing w:val="-4"/>
        </w:rPr>
        <w:t xml:space="preserve"> Planning Committee; </w:t>
      </w:r>
      <w:r w:rsidR="00797079" w:rsidRPr="007C1C29">
        <w:rPr>
          <w:spacing w:val="-4"/>
        </w:rPr>
        <w:t>Policy</w:t>
      </w:r>
      <w:r w:rsidR="00A07E18" w:rsidRPr="007C1C29">
        <w:rPr>
          <w:spacing w:val="-4"/>
        </w:rPr>
        <w:t xml:space="preserve"> Committee; </w:t>
      </w:r>
      <w:commentRangeStart w:id="0"/>
      <w:r w:rsidR="00A07E18" w:rsidRPr="007C1C29">
        <w:rPr>
          <w:spacing w:val="-4"/>
        </w:rPr>
        <w:t>Personnel</w:t>
      </w:r>
      <w:commentRangeEnd w:id="0"/>
      <w:r w:rsidR="007C1DDA">
        <w:rPr>
          <w:rStyle w:val="CommentReference"/>
        </w:rPr>
        <w:commentReference w:id="0"/>
      </w:r>
      <w:r w:rsidR="00A07E18" w:rsidRPr="007C1C29">
        <w:rPr>
          <w:spacing w:val="-4"/>
        </w:rPr>
        <w:t xml:space="preserve"> Committee; Finance Committee; and Public Relations Committee.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>The Board President shall appoint and publicly announce the members of the standing committees for the ensuing year no later than the Board's regular meeting in January.</w:t>
      </w:r>
      <w:r w:rsidR="00792519" w:rsidRPr="007C1C29">
        <w:rPr>
          <w:spacing w:val="-4"/>
        </w:rPr>
        <w:t xml:space="preserve"> </w:t>
      </w:r>
      <w:r w:rsidR="00900490" w:rsidRPr="007C1C29">
        <w:rPr>
          <w:spacing w:val="-4"/>
        </w:rPr>
        <w:t>S</w:t>
      </w:r>
      <w:r w:rsidRPr="007C1C29">
        <w:rPr>
          <w:spacing w:val="-4"/>
        </w:rPr>
        <w:t>tanding committees may be assigned to review District functions, activities, and operations pertaining to their designated concerns, as specified below.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>Said assignment may be made by the Board President, a majority vote of the Board, or on their own initiative.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>Any recommendations</w:t>
      </w:r>
      <w:r w:rsidR="00900490" w:rsidRPr="007C1C29">
        <w:rPr>
          <w:spacing w:val="-4"/>
        </w:rPr>
        <w:t xml:space="preserve"> from standing committees</w:t>
      </w:r>
      <w:r w:rsidRPr="007C1C29">
        <w:rPr>
          <w:spacing w:val="-4"/>
        </w:rPr>
        <w:t xml:space="preserve"> </w:t>
      </w:r>
      <w:r w:rsidR="00FC6A99" w:rsidRPr="007C1C29">
        <w:rPr>
          <w:spacing w:val="-4"/>
        </w:rPr>
        <w:t>shall</w:t>
      </w:r>
      <w:r w:rsidR="00900490" w:rsidRPr="007C1C29">
        <w:rPr>
          <w:spacing w:val="-4"/>
        </w:rPr>
        <w:t xml:space="preserve"> </w:t>
      </w:r>
      <w:r w:rsidRPr="007C1C29">
        <w:rPr>
          <w:spacing w:val="-4"/>
        </w:rPr>
        <w:t>be submitted to the Board via a written or oral report.</w:t>
      </w:r>
      <w:r w:rsidR="00792519" w:rsidRPr="007C1C29">
        <w:rPr>
          <w:spacing w:val="-4"/>
        </w:rPr>
        <w:t xml:space="preserve"> </w:t>
      </w:r>
      <w:r w:rsidRPr="007C1C29">
        <w:rPr>
          <w:spacing w:val="-4"/>
        </w:rPr>
        <w:t xml:space="preserve">All meetings of standing committees </w:t>
      </w:r>
      <w:r w:rsidR="00FA373C" w:rsidRPr="007C1C29">
        <w:rPr>
          <w:spacing w:val="-4"/>
        </w:rPr>
        <w:t>are subject to the requirements of</w:t>
      </w:r>
      <w:r w:rsidRPr="007C1C29">
        <w:rPr>
          <w:spacing w:val="-4"/>
        </w:rPr>
        <w:t xml:space="preserve"> all </w:t>
      </w:r>
      <w:r w:rsidR="00900490" w:rsidRPr="007C1C29">
        <w:rPr>
          <w:spacing w:val="-4"/>
        </w:rPr>
        <w:t xml:space="preserve">applicable </w:t>
      </w:r>
      <w:r w:rsidRPr="007C1C29">
        <w:rPr>
          <w:spacing w:val="-4"/>
        </w:rPr>
        <w:t>open meeting laws</w:t>
      </w:r>
      <w:r w:rsidR="00900490" w:rsidRPr="007C1C29">
        <w:rPr>
          <w:spacing w:val="-4"/>
        </w:rPr>
        <w:t xml:space="preserve">, including but not limited to the </w:t>
      </w:r>
      <w:r w:rsidRPr="007C1C29">
        <w:rPr>
          <w:spacing w:val="-4"/>
        </w:rPr>
        <w:t>Brown Act</w:t>
      </w:r>
      <w:r w:rsidR="00900490" w:rsidRPr="007C1C29">
        <w:rPr>
          <w:spacing w:val="-4"/>
        </w:rPr>
        <w:t>.</w:t>
      </w:r>
    </w:p>
    <w:p w14:paraId="01C0F182" w14:textId="77777777" w:rsidR="00C13903" w:rsidRPr="007C1C29" w:rsidRDefault="00C13903">
      <w:pPr>
        <w:pStyle w:val="CSDAPolicy1"/>
        <w:rPr>
          <w:spacing w:val="-4"/>
        </w:rPr>
      </w:pPr>
    </w:p>
    <w:p w14:paraId="61FDC8BD" w14:textId="77777777" w:rsidR="00C13903" w:rsidRPr="007C1C29" w:rsidRDefault="00900490" w:rsidP="00797079">
      <w:pPr>
        <w:pStyle w:val="CSDAPolicy1"/>
        <w:ind w:left="720" w:hanging="720"/>
        <w:rPr>
          <w:spacing w:val="-4"/>
        </w:rPr>
      </w:pPr>
      <w:r w:rsidRPr="007C1C29">
        <w:rPr>
          <w:bCs/>
          <w:spacing w:val="-4"/>
        </w:rPr>
        <w:tab/>
      </w:r>
      <w:r w:rsidR="00331919"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</w:t>
      </w:r>
      <w:r w:rsidRPr="007C1C29">
        <w:rPr>
          <w:bCs/>
          <w:spacing w:val="-4"/>
        </w:rPr>
        <w:t>2.1</w:t>
      </w:r>
      <w:r w:rsidR="00C13903" w:rsidRPr="007C1C29">
        <w:rPr>
          <w:spacing w:val="-4"/>
        </w:rPr>
        <w:tab/>
        <w:t>The Planning Committee shall be concerned with the formulation of plans for arranging, realizing, and/or achieving District goals.</w:t>
      </w:r>
    </w:p>
    <w:p w14:paraId="600AE38F" w14:textId="77777777" w:rsidR="00C13903" w:rsidRPr="007C1C29" w:rsidRDefault="00C13903">
      <w:pPr>
        <w:pStyle w:val="CSDAPolicy1"/>
        <w:rPr>
          <w:spacing w:val="-4"/>
        </w:rPr>
      </w:pPr>
    </w:p>
    <w:p w14:paraId="1CC8E12F" w14:textId="77777777" w:rsidR="00C13903" w:rsidRPr="007C1C29" w:rsidRDefault="00900490" w:rsidP="00797079">
      <w:pPr>
        <w:pStyle w:val="CSDAPolicy1"/>
        <w:ind w:left="720" w:hanging="720"/>
        <w:rPr>
          <w:spacing w:val="-4"/>
        </w:rPr>
      </w:pPr>
      <w:r w:rsidRPr="007C1C29">
        <w:rPr>
          <w:bCs/>
          <w:spacing w:val="-4"/>
        </w:rPr>
        <w:tab/>
      </w:r>
      <w:r w:rsidR="00331919"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</w:t>
      </w:r>
      <w:r w:rsidRPr="007C1C29">
        <w:rPr>
          <w:bCs/>
          <w:spacing w:val="-4"/>
        </w:rPr>
        <w:t>2.2</w:t>
      </w:r>
      <w:r w:rsidR="00C13903" w:rsidRPr="007C1C29">
        <w:rPr>
          <w:spacing w:val="-4"/>
        </w:rPr>
        <w:tab/>
        <w:t xml:space="preserve">The </w:t>
      </w:r>
      <w:r w:rsidR="00797079" w:rsidRPr="007C1C29">
        <w:rPr>
          <w:spacing w:val="-4"/>
        </w:rPr>
        <w:t xml:space="preserve">Policy </w:t>
      </w:r>
      <w:r w:rsidR="00C13903" w:rsidRPr="007C1C29">
        <w:rPr>
          <w:spacing w:val="-4"/>
        </w:rPr>
        <w:t>Committee shall be concerned with proposed ordinances, resolutions</w:t>
      </w:r>
      <w:r w:rsidRPr="007C1C29">
        <w:rPr>
          <w:spacing w:val="-4"/>
        </w:rPr>
        <w:t>,</w:t>
      </w:r>
      <w:r w:rsidR="00C13903" w:rsidRPr="007C1C29">
        <w:rPr>
          <w:spacing w:val="-4"/>
        </w:rPr>
        <w:t xml:space="preserve"> and District policies, except those pertaining specifically to personnel.</w:t>
      </w:r>
    </w:p>
    <w:p w14:paraId="617381B1" w14:textId="77777777" w:rsidR="00331919" w:rsidRPr="007C1C29" w:rsidRDefault="00BB7C01" w:rsidP="00797079">
      <w:pPr>
        <w:pStyle w:val="CSDAPolicy1"/>
        <w:ind w:left="720" w:hanging="720"/>
        <w:rPr>
          <w:bCs/>
          <w:spacing w:val="-4"/>
        </w:rPr>
      </w:pPr>
      <w:r w:rsidRPr="007C1C29">
        <w:rPr>
          <w:bCs/>
          <w:spacing w:val="-4"/>
        </w:rPr>
        <w:tab/>
      </w:r>
    </w:p>
    <w:p w14:paraId="2743574B" w14:textId="77777777" w:rsidR="00C13903" w:rsidRPr="007C1C29" w:rsidRDefault="00331919" w:rsidP="00797079">
      <w:pPr>
        <w:pStyle w:val="CSDAPolicy1"/>
        <w:ind w:left="720" w:hanging="720"/>
        <w:rPr>
          <w:spacing w:val="-4"/>
        </w:rPr>
      </w:pPr>
      <w:r w:rsidRPr="007C1C29">
        <w:rPr>
          <w:bCs/>
          <w:spacing w:val="-4"/>
        </w:rPr>
        <w:tab/>
        <w:t>4105</w:t>
      </w:r>
      <w:r w:rsidR="00C13903" w:rsidRPr="007C1C29">
        <w:rPr>
          <w:bCs/>
          <w:spacing w:val="-4"/>
        </w:rPr>
        <w:t>.</w:t>
      </w:r>
      <w:r w:rsidR="00900490" w:rsidRPr="007C1C29">
        <w:rPr>
          <w:bCs/>
          <w:spacing w:val="-4"/>
        </w:rPr>
        <w:t>2.3</w:t>
      </w:r>
      <w:r w:rsidR="00C13903" w:rsidRPr="007C1C29">
        <w:rPr>
          <w:spacing w:val="-4"/>
        </w:rPr>
        <w:tab/>
        <w:t>The Personnel Committee shall be concerned with the functions, activities, operations, compensation</w:t>
      </w:r>
      <w:r w:rsidR="00766026">
        <w:rPr>
          <w:spacing w:val="-4"/>
        </w:rPr>
        <w:t>,</w:t>
      </w:r>
      <w:r w:rsidR="00C13903" w:rsidRPr="007C1C29">
        <w:rPr>
          <w:spacing w:val="-4"/>
        </w:rPr>
        <w:t xml:space="preserve"> and welfare of District staff.</w:t>
      </w:r>
    </w:p>
    <w:p w14:paraId="5D78929D" w14:textId="77777777" w:rsidR="00C13903" w:rsidRPr="007C1C29" w:rsidRDefault="00C13903">
      <w:pPr>
        <w:pStyle w:val="CSDAPolicy1"/>
        <w:rPr>
          <w:spacing w:val="-4"/>
        </w:rPr>
      </w:pPr>
    </w:p>
    <w:p w14:paraId="759D7DFA" w14:textId="77777777" w:rsidR="00331919" w:rsidRPr="007C1C29" w:rsidRDefault="00900490" w:rsidP="00797079">
      <w:pPr>
        <w:pStyle w:val="CSDAPolicy1"/>
        <w:ind w:left="720" w:hanging="720"/>
        <w:rPr>
          <w:spacing w:val="-4"/>
        </w:rPr>
        <w:sectPr w:rsidR="00331919" w:rsidRPr="007C1C29" w:rsidSect="001601B7">
          <w:headerReference w:type="default" r:id="rId11"/>
          <w:footerReference w:type="default" r:id="rId12"/>
          <w:endnotePr>
            <w:numFmt w:val="decimal"/>
          </w:endnotePr>
          <w:pgSz w:w="12240" w:h="15840" w:code="1"/>
          <w:pgMar w:top="1152" w:right="1152" w:bottom="1152" w:left="1728" w:header="1152" w:footer="720" w:gutter="0"/>
          <w:cols w:space="720"/>
          <w:noEndnote/>
        </w:sectPr>
      </w:pPr>
      <w:r w:rsidRPr="007C1C29">
        <w:rPr>
          <w:bCs/>
          <w:spacing w:val="-4"/>
        </w:rPr>
        <w:tab/>
      </w:r>
      <w:r w:rsidR="00331919"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</w:t>
      </w:r>
      <w:r w:rsidRPr="007C1C29">
        <w:rPr>
          <w:bCs/>
          <w:spacing w:val="-4"/>
        </w:rPr>
        <w:t>2.4</w:t>
      </w:r>
      <w:r w:rsidR="00C13903" w:rsidRPr="007C1C29">
        <w:rPr>
          <w:spacing w:val="-4"/>
        </w:rPr>
        <w:tab/>
        <w:t>The Finance Committee shall be concerned with the financial management of the District, including the preparation of an annual budget and major expenditures.</w:t>
      </w:r>
    </w:p>
    <w:p w14:paraId="35F6E412" w14:textId="77777777" w:rsidR="00C13903" w:rsidRPr="007C1C29" w:rsidRDefault="00900490" w:rsidP="00797079">
      <w:pPr>
        <w:pStyle w:val="CSDAPolicy1"/>
        <w:ind w:left="720" w:hanging="720"/>
        <w:rPr>
          <w:spacing w:val="-4"/>
        </w:rPr>
      </w:pPr>
      <w:r w:rsidRPr="007C1C29">
        <w:rPr>
          <w:bCs/>
          <w:spacing w:val="-4"/>
        </w:rPr>
        <w:lastRenderedPageBreak/>
        <w:tab/>
      </w:r>
      <w:r w:rsidR="00331919" w:rsidRPr="007C1C29">
        <w:rPr>
          <w:bCs/>
          <w:spacing w:val="-4"/>
        </w:rPr>
        <w:t>4105</w:t>
      </w:r>
      <w:r w:rsidR="00C13903" w:rsidRPr="007C1C29">
        <w:rPr>
          <w:bCs/>
          <w:spacing w:val="-4"/>
        </w:rPr>
        <w:t>.</w:t>
      </w:r>
      <w:r w:rsidRPr="007C1C29">
        <w:rPr>
          <w:bCs/>
          <w:spacing w:val="-4"/>
        </w:rPr>
        <w:t>2.5</w:t>
      </w:r>
      <w:r w:rsidR="00C13903" w:rsidRPr="007C1C29">
        <w:rPr>
          <w:spacing w:val="-4"/>
        </w:rPr>
        <w:tab/>
        <w:t xml:space="preserve">The Public </w:t>
      </w:r>
      <w:r w:rsidR="00AB279A" w:rsidRPr="007C1C29">
        <w:rPr>
          <w:spacing w:val="-4"/>
        </w:rPr>
        <w:t xml:space="preserve">Relations </w:t>
      </w:r>
      <w:r w:rsidR="00C13903" w:rsidRPr="007C1C29">
        <w:rPr>
          <w:spacing w:val="-4"/>
        </w:rPr>
        <w:t xml:space="preserve">Committee shall be concerned with assuring that information regarding the affairs of the District </w:t>
      </w:r>
      <w:r w:rsidR="008355D2" w:rsidRPr="007C1C29">
        <w:rPr>
          <w:spacing w:val="-4"/>
        </w:rPr>
        <w:t>is</w:t>
      </w:r>
      <w:r w:rsidR="00C13903" w:rsidRPr="007C1C29">
        <w:rPr>
          <w:spacing w:val="-4"/>
        </w:rPr>
        <w:t xml:space="preserve"> adequately and appropriately communicat</w:t>
      </w:r>
      <w:r w:rsidR="00C13903" w:rsidRPr="007C1C29">
        <w:rPr>
          <w:spacing w:val="-4"/>
        </w:rPr>
        <w:softHyphen/>
        <w:t>ed to its constituents and the public at large.</w:t>
      </w:r>
    </w:p>
    <w:p w14:paraId="5B9850F1" w14:textId="77777777" w:rsidR="00C13903" w:rsidRPr="007C1C29" w:rsidRDefault="00C13903">
      <w:pPr>
        <w:pStyle w:val="CSDAPolicy1"/>
        <w:rPr>
          <w:spacing w:val="-4"/>
        </w:rPr>
      </w:pPr>
    </w:p>
    <w:sectPr w:rsidR="00C13903" w:rsidRPr="007C1C29">
      <w:footerReference w:type="default" r:id="rId13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rt Tharpe" w:date="2024-04-20T21:57:00Z" w:initials="AT">
    <w:p w14:paraId="0D839529" w14:textId="77777777" w:rsidR="007C1DDA" w:rsidRDefault="007C1DDA" w:rsidP="007C1DDA">
      <w:pPr>
        <w:pStyle w:val="CommentText"/>
        <w:ind w:left="0"/>
      </w:pPr>
      <w:r>
        <w:rPr>
          <w:rStyle w:val="CommentReference"/>
        </w:rPr>
        <w:annotationRef/>
      </w:r>
      <w:r>
        <w:t>We may not need this many committees.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D8395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F42B827" w16cex:dateUtc="2024-04-21T04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D839529" w16cid:durableId="5F42B8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714F6" w14:textId="77777777" w:rsidR="001601B7" w:rsidRDefault="001601B7">
      <w:r>
        <w:separator/>
      </w:r>
    </w:p>
  </w:endnote>
  <w:endnote w:type="continuationSeparator" w:id="0">
    <w:p w14:paraId="7D019E10" w14:textId="77777777" w:rsidR="001601B7" w:rsidRDefault="0016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7802B" w14:textId="77777777" w:rsidR="00C13903" w:rsidRDefault="00C13903" w:rsidP="00766026">
    <w:pPr>
      <w:tabs>
        <w:tab w:val="left" w:pos="3255"/>
        <w:tab w:val="center" w:pos="4680"/>
        <w:tab w:val="right" w:pos="9360"/>
      </w:tabs>
      <w:jc w:val="both"/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766026" w:rsidRPr="00766026"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587741F" wp14:editId="587E8BCC">
          <wp:simplePos x="1781175" y="828675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5" name="Picture 5" descr="H:\Department Folders\Member Services\Shared Membership Folder\Sample Policy Handbook\6th Edition, 2016\Production\covers, footers, headers etc\SPH footer JarvisFay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Department Folders\Member Services\Shared Membership Folder\Sample Policy Handbook\6th Edition, 2016\Production\covers, footers, headers etc\SPH footer JarvisFay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6026">
      <w:rPr>
        <w:rFonts w:ascii="Arial Narrow" w:hAnsi="Arial Narrow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978A1" w14:textId="77777777" w:rsidR="00331919" w:rsidRDefault="00331919">
    <w:pPr>
      <w:tabs>
        <w:tab w:val="center" w:pos="4680"/>
        <w:tab w:val="right" w:pos="9360"/>
      </w:tabs>
      <w:jc w:val="both"/>
      <w:rPr>
        <w:rFonts w:ascii="Arial Narrow" w:hAnsi="Arial Narrow"/>
        <w:sz w:val="24"/>
      </w:rPr>
    </w:pPr>
    <w:r w:rsidRPr="00331919">
      <w:rPr>
        <w:rFonts w:ascii="Arial Narrow" w:hAnsi="Arial Narrow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09C5F657" wp14:editId="0A882A4C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16" cy="1143002"/>
          <wp:effectExtent l="0" t="0" r="0" b="0"/>
          <wp:wrapSquare wrapText="bothSides"/>
          <wp:docPr id="4" name="Picture 4" descr="C:\Users\cassandras\AppData\Local\Microsoft\Windows\INetCache\Content.Outlook\UMBW9TO9\SPH footer secondary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cassandras\AppData\Local\Microsoft\Windows\INetCache\Content.Outlook\UMBW9TO9\SPH footer secondary (003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16" cy="1143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F123A" w14:textId="77777777" w:rsidR="001601B7" w:rsidRDefault="001601B7">
      <w:r>
        <w:separator/>
      </w:r>
    </w:p>
  </w:footnote>
  <w:footnote w:type="continuationSeparator" w:id="0">
    <w:p w14:paraId="35A9D731" w14:textId="77777777" w:rsidR="001601B7" w:rsidRDefault="00160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17917" w14:textId="77777777" w:rsidR="00331919" w:rsidRDefault="0033191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792CBA" wp14:editId="10B5B257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1" name="Picture 1" descr="C:\Users\cassandras\AppData\Local\Microsoft\Windows\INetCache\Content.Word\SPH header Board Director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Board Director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25B954E4"/>
    <w:multiLevelType w:val="multilevel"/>
    <w:tmpl w:val="FECC9FB6"/>
    <w:lvl w:ilvl="0">
      <w:start w:val="4060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95"/>
        </w:tabs>
        <w:ind w:left="1395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10"/>
        </w:tabs>
        <w:ind w:left="261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1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2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3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 w16cid:durableId="1237475547">
    <w:abstractNumId w:val="9"/>
  </w:num>
  <w:num w:numId="2" w16cid:durableId="1957523284">
    <w:abstractNumId w:val="7"/>
  </w:num>
  <w:num w:numId="3" w16cid:durableId="1551380678">
    <w:abstractNumId w:val="6"/>
  </w:num>
  <w:num w:numId="4" w16cid:durableId="1681006614">
    <w:abstractNumId w:val="5"/>
  </w:num>
  <w:num w:numId="5" w16cid:durableId="662391747">
    <w:abstractNumId w:val="4"/>
  </w:num>
  <w:num w:numId="6" w16cid:durableId="1626735409">
    <w:abstractNumId w:val="8"/>
  </w:num>
  <w:num w:numId="7" w16cid:durableId="1861121768">
    <w:abstractNumId w:val="3"/>
  </w:num>
  <w:num w:numId="8" w16cid:durableId="792213083">
    <w:abstractNumId w:val="2"/>
  </w:num>
  <w:num w:numId="9" w16cid:durableId="848368549">
    <w:abstractNumId w:val="1"/>
  </w:num>
  <w:num w:numId="10" w16cid:durableId="1018388500">
    <w:abstractNumId w:val="0"/>
  </w:num>
  <w:num w:numId="11" w16cid:durableId="1862930696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 w16cid:durableId="365494563">
    <w:abstractNumId w:val="19"/>
  </w:num>
  <w:num w:numId="13" w16cid:durableId="311181312">
    <w:abstractNumId w:val="20"/>
  </w:num>
  <w:num w:numId="14" w16cid:durableId="1043099981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 w16cid:durableId="261425683">
    <w:abstractNumId w:val="18"/>
  </w:num>
  <w:num w:numId="16" w16cid:durableId="534774802">
    <w:abstractNumId w:val="21"/>
  </w:num>
  <w:num w:numId="17" w16cid:durableId="408885278">
    <w:abstractNumId w:val="11"/>
  </w:num>
  <w:num w:numId="18" w16cid:durableId="728114021">
    <w:abstractNumId w:val="20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 w16cid:durableId="123619620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 w16cid:durableId="1269897213">
    <w:abstractNumId w:val="22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 w16cid:durableId="1185636505">
    <w:abstractNumId w:val="17"/>
  </w:num>
  <w:num w:numId="22" w16cid:durableId="378868234">
    <w:abstractNumId w:val="15"/>
  </w:num>
  <w:num w:numId="23" w16cid:durableId="1689479182">
    <w:abstractNumId w:val="14"/>
  </w:num>
  <w:num w:numId="24" w16cid:durableId="785856935">
    <w:abstractNumId w:val="23"/>
  </w:num>
  <w:num w:numId="25" w16cid:durableId="321128800">
    <w:abstractNumId w:val="12"/>
  </w:num>
  <w:num w:numId="26" w16cid:durableId="277566722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rt Tharpe">
    <w15:presenceInfo w15:providerId="None" w15:userId="Art Tharp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D2"/>
    <w:rsid w:val="0007493D"/>
    <w:rsid w:val="001601B7"/>
    <w:rsid w:val="00217600"/>
    <w:rsid w:val="00280FFD"/>
    <w:rsid w:val="002A16DD"/>
    <w:rsid w:val="00331919"/>
    <w:rsid w:val="00370B8D"/>
    <w:rsid w:val="00452A72"/>
    <w:rsid w:val="004653AF"/>
    <w:rsid w:val="0060034A"/>
    <w:rsid w:val="006679F4"/>
    <w:rsid w:val="006F7B43"/>
    <w:rsid w:val="00766026"/>
    <w:rsid w:val="00792519"/>
    <w:rsid w:val="00795532"/>
    <w:rsid w:val="00797079"/>
    <w:rsid w:val="007C1C29"/>
    <w:rsid w:val="007C1DDA"/>
    <w:rsid w:val="007E3F76"/>
    <w:rsid w:val="008355D2"/>
    <w:rsid w:val="0088634E"/>
    <w:rsid w:val="008A6C4A"/>
    <w:rsid w:val="008C25E6"/>
    <w:rsid w:val="008E3ECB"/>
    <w:rsid w:val="00900490"/>
    <w:rsid w:val="009206E4"/>
    <w:rsid w:val="009A1CEE"/>
    <w:rsid w:val="00A07E18"/>
    <w:rsid w:val="00A73365"/>
    <w:rsid w:val="00AB279A"/>
    <w:rsid w:val="00BB09FA"/>
    <w:rsid w:val="00BB7C01"/>
    <w:rsid w:val="00C073B7"/>
    <w:rsid w:val="00C13903"/>
    <w:rsid w:val="00C73969"/>
    <w:rsid w:val="00E24E3D"/>
    <w:rsid w:val="00F41E7B"/>
    <w:rsid w:val="00F55B5C"/>
    <w:rsid w:val="00FA373C"/>
    <w:rsid w:val="00FC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1492B"/>
  <w15:chartTrackingRefBased/>
  <w15:docId w15:val="{7BA50EE5-8AA8-4E17-AF2F-A19DDD0A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link w:val="FootnoteBaseChar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link w:val="CommentTextChar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A07E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07E18"/>
    <w:rPr>
      <w:rFonts w:ascii="Segoe UI" w:hAnsi="Segoe UI" w:cs="Segoe UI"/>
      <w:spacing w:val="-5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C1DDA"/>
    <w:pPr>
      <w:keepLines w:val="0"/>
      <w:spacing w:line="240" w:lineRule="auto"/>
    </w:pPr>
    <w:rPr>
      <w:b/>
      <w:bCs/>
      <w:sz w:val="20"/>
    </w:rPr>
  </w:style>
  <w:style w:type="character" w:customStyle="1" w:styleId="FootnoteBaseChar">
    <w:name w:val="Footnote Base Char"/>
    <w:basedOn w:val="DefaultParagraphFont"/>
    <w:link w:val="FootnoteBase"/>
    <w:rsid w:val="007C1DDA"/>
    <w:rPr>
      <w:rFonts w:ascii="Arial" w:hAnsi="Arial"/>
      <w:spacing w:val="-5"/>
      <w:sz w:val="16"/>
    </w:rPr>
  </w:style>
  <w:style w:type="character" w:customStyle="1" w:styleId="CommentTextChar">
    <w:name w:val="Comment Text Char"/>
    <w:basedOn w:val="FootnoteBaseChar"/>
    <w:link w:val="CommentText"/>
    <w:semiHidden/>
    <w:rsid w:val="007C1DDA"/>
    <w:rPr>
      <w:rFonts w:ascii="Arial" w:hAnsi="Arial"/>
      <w:spacing w:val="-5"/>
      <w:sz w:val="16"/>
    </w:rPr>
  </w:style>
  <w:style w:type="character" w:customStyle="1" w:styleId="CommentSubjectChar">
    <w:name w:val="Comment Subject Char"/>
    <w:basedOn w:val="CommentTextChar"/>
    <w:link w:val="CommentSubject"/>
    <w:rsid w:val="007C1DDA"/>
    <w:rPr>
      <w:rFonts w:ascii="Arial" w:hAnsi="Arial"/>
      <w:b/>
      <w:bCs/>
      <w:spacing w:val="-5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SPECIAL DISTRICTS ASSOCIATION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SPECIAL DISTRICTS ASSOCIATION</dc:title>
  <dc:subject/>
  <dc:creator>Mike Glaze</dc:creator>
  <cp:keywords/>
  <dc:description/>
  <cp:lastModifiedBy>Art Tharpe</cp:lastModifiedBy>
  <cp:revision>8</cp:revision>
  <cp:lastPrinted>2024-04-21T04:56:00Z</cp:lastPrinted>
  <dcterms:created xsi:type="dcterms:W3CDTF">2017-04-18T23:48:00Z</dcterms:created>
  <dcterms:modified xsi:type="dcterms:W3CDTF">2024-04-21T04:57:00Z</dcterms:modified>
</cp:coreProperties>
</file>